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标的2：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物资明细清单</w:t>
      </w:r>
    </w:p>
    <w:p>
      <w:pPr>
        <w:rPr>
          <w:rFonts w:hint="eastAsia"/>
        </w:rPr>
      </w:pPr>
    </w:p>
    <w:tbl>
      <w:tblPr>
        <w:tblW w:w="9514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05"/>
        <w:gridCol w:w="2085"/>
        <w:gridCol w:w="735"/>
        <w:gridCol w:w="885"/>
        <w:gridCol w:w="1335"/>
        <w:gridCol w:w="1459"/>
        <w:gridCol w:w="1500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l2br w:val="nil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08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规格型号（描述）</w:t>
            </w:r>
          </w:p>
        </w:tc>
        <w:tc>
          <w:tcPr>
            <w:tcW w:w="73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3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购置日期</w:t>
            </w:r>
          </w:p>
        </w:tc>
        <w:tc>
          <w:tcPr>
            <w:tcW w:w="1459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整体拍卖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起拍价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50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 43G50E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1,169,220.00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TCL43寸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2,065,022.00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海信（Hisense） 智能液晶平板，55H55E 55英寸 超高清4K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9,598.00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万骏、扬子、欣禾（16寸），美的FSA40XE，艾美特FS4096T2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254,820.00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83,230.00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智能门锁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102,300.00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空调扇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雷豹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3,471.00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双层铁架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23,140.00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（实木床、铁床）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750,870.00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388,714.00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床立柱50管0.7床梁25x50x0.7，床板是10厘木板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659,597.00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折叠铁床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8,459.00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祥平保障房地铁社区二期（2-2、2-6地块）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0.9*1.9米，铁架床床垫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湖边公寓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21,360.00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0.9*1.9；1.2*1.9；1.5*2.0 椰棕床垫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269,663.00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316,217.00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定制窗帘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79,023.00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1200*400*750mm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256,480.00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1.2*0.6米，106*73*75cm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20,363.00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1.2米条形桌、实木桌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249,930.00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45*90（折叠）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3,124.00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原塑靠背椅、原塑方凳40cm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13,500.00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72,090.00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78,152.00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官浔公寓（同安资产配置）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原塑方凳40cm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塑料靠背椅792mm高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91,817.00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桌子、椅子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1.0米长*0.5米宽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206,483.00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短沙发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1*0.6*0.75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4,752.00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长沙发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1.5*0.6*0.75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21,965.00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洋唐居住区三期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37619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7,226,500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（取整）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标的物资2整体拍卖，整体拍卖保证金￥150万元。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37F6409"/>
    <w:rsid w:val="08E745A8"/>
    <w:rsid w:val="0CBF4BF8"/>
    <w:rsid w:val="537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2023-12-14T01:46:55Z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02FB9B72974845CBAF76CB8375F8D589_13</vt:lpwstr>
  </property>
</Properties>
</file>