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等线" w:hAnsi="等线" w:eastAsia="等线"/>
          <w:b/>
          <w:sz w:val="30"/>
          <w:szCs w:val="30"/>
        </w:rPr>
      </w:pPr>
      <w:r>
        <w:rPr>
          <w:rFonts w:hint="eastAsia" w:ascii="等线" w:hAnsi="等线" w:eastAsia="等线"/>
          <w:b/>
          <w:sz w:val="30"/>
          <w:szCs w:val="30"/>
        </w:rPr>
        <w:t>竞价协议书</w:t>
      </w:r>
    </w:p>
    <w:p>
      <w:pPr>
        <w:autoSpaceDE w:val="0"/>
        <w:autoSpaceDN w:val="0"/>
        <w:spacing w:line="360" w:lineRule="auto"/>
        <w:jc w:val="center"/>
        <w:rPr>
          <w:rFonts w:ascii="仿宋_GB2312" w:eastAsia="仿宋_GB2312"/>
          <w:b/>
          <w:szCs w:val="21"/>
        </w:rPr>
      </w:pPr>
    </w:p>
    <w:p>
      <w:pPr>
        <w:autoSpaceDE w:val="0"/>
        <w:autoSpaceDN w:val="0"/>
        <w:spacing w:line="360" w:lineRule="auto"/>
        <w:jc w:val="left"/>
        <w:rPr>
          <w:rFonts w:ascii="仿宋_GB2312" w:eastAsia="仿宋_GB2312"/>
          <w:b/>
          <w:sz w:val="24"/>
          <w:szCs w:val="24"/>
        </w:rPr>
      </w:pPr>
      <w:r>
        <w:rPr>
          <w:rFonts w:hint="eastAsia" w:ascii="仿宋_GB2312" w:eastAsia="仿宋_GB2312"/>
          <w:b/>
          <w:sz w:val="24"/>
          <w:szCs w:val="24"/>
        </w:rPr>
        <w:t>代理人(简称“甲方”)：福建省</w:t>
      </w:r>
      <w:r>
        <w:rPr>
          <w:rFonts w:hint="eastAsia" w:ascii="仿宋_GB2312" w:eastAsia="仿宋_GB2312"/>
          <w:b/>
          <w:sz w:val="24"/>
          <w:szCs w:val="24"/>
          <w:lang w:val="en-US" w:eastAsia="zh-CN"/>
        </w:rPr>
        <w:t>鹏翰</w:t>
      </w:r>
      <w:r>
        <w:rPr>
          <w:rFonts w:hint="eastAsia" w:ascii="仿宋_GB2312" w:eastAsia="仿宋_GB2312"/>
          <w:b/>
          <w:sz w:val="24"/>
          <w:szCs w:val="24"/>
        </w:rPr>
        <w:t>拍卖有限公司</w:t>
      </w:r>
      <w:r>
        <w:rPr>
          <w:rFonts w:hint="eastAsia" w:ascii="仿宋_GB2312" w:eastAsia="仿宋_GB2312"/>
          <w:b/>
          <w:sz w:val="24"/>
          <w:szCs w:val="24"/>
        </w:rPr>
        <w:cr/>
      </w:r>
      <w:r>
        <w:rPr>
          <w:rFonts w:hint="eastAsia" w:ascii="仿宋_GB2312" w:eastAsia="仿宋_GB2312"/>
          <w:b/>
          <w:sz w:val="24"/>
          <w:szCs w:val="24"/>
        </w:rPr>
        <w:t>竞价人(简称“乙方”)：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b/>
          <w:sz w:val="24"/>
          <w:szCs w:val="24"/>
        </w:rPr>
        <w:t>受  托  人：</w:t>
      </w:r>
      <w:r>
        <w:rPr>
          <w:rFonts w:hint="eastAsia" w:ascii="仿宋_GB2312" w:eastAsia="仿宋_GB2312"/>
          <w:sz w:val="24"/>
          <w:u w:val="single"/>
        </w:rPr>
        <w:t xml:space="preserve">                     </w:t>
      </w:r>
    </w:p>
    <w:p>
      <w:pPr>
        <w:autoSpaceDE w:val="0"/>
        <w:autoSpaceDN w:val="0"/>
        <w:spacing w:line="360" w:lineRule="auto"/>
        <w:ind w:left="1808" w:leftChars="620" w:hanging="506" w:hangingChars="180"/>
        <w:jc w:val="left"/>
        <w:rPr>
          <w:rFonts w:ascii="仿宋_GB2312" w:eastAsia="仿宋_GB2312"/>
          <w:sz w:val="24"/>
          <w:u w:val="single"/>
        </w:rPr>
      </w:pPr>
      <w:r>
        <w:rPr>
          <w:rFonts w:hint="eastAsia" w:ascii="仿宋_GB2312" w:eastAsia="仿宋_GB2312"/>
          <w:b/>
          <w:spacing w:val="20"/>
          <w:sz w:val="24"/>
          <w:szCs w:val="24"/>
        </w:rPr>
        <w:t>证件号码</w:t>
      </w:r>
      <w:r>
        <w:rPr>
          <w:rFonts w:hint="eastAsia" w:ascii="仿宋_GB2312" w:eastAsia="仿宋_GB2312"/>
          <w:b/>
          <w:sz w:val="24"/>
          <w:szCs w:val="24"/>
        </w:rPr>
        <w:t>：</w:t>
      </w:r>
      <w:r>
        <w:rPr>
          <w:rFonts w:hint="eastAsia" w:ascii="仿宋_GB2312" w:eastAsia="仿宋_GB2312"/>
          <w:sz w:val="24"/>
          <w:u w:val="single"/>
        </w:rPr>
        <w:t xml:space="preserve">                    </w:t>
      </w:r>
      <w:r>
        <w:rPr>
          <w:rFonts w:hint="eastAsia" w:ascii="仿宋_GB2312" w:eastAsia="仿宋_GB2312"/>
          <w:b/>
          <w:sz w:val="24"/>
          <w:szCs w:val="24"/>
        </w:rPr>
        <w:t xml:space="preserve"> 身份证号码：</w:t>
      </w:r>
      <w:r>
        <w:rPr>
          <w:rFonts w:hint="eastAsia" w:ascii="仿宋_GB2312" w:eastAsia="仿宋_GB2312"/>
          <w:sz w:val="24"/>
          <w:u w:val="single"/>
        </w:rPr>
        <w:t xml:space="preserve">                     </w:t>
      </w:r>
    </w:p>
    <w:p>
      <w:pPr>
        <w:autoSpaceDE w:val="0"/>
        <w:autoSpaceDN w:val="0"/>
        <w:spacing w:line="360" w:lineRule="auto"/>
        <w:ind w:left="1808" w:leftChars="620" w:hanging="506" w:hangingChars="180"/>
        <w:jc w:val="left"/>
        <w:rPr>
          <w:rFonts w:ascii="仿宋_GB2312" w:eastAsia="仿宋_GB2312"/>
          <w:b/>
          <w:sz w:val="24"/>
          <w:szCs w:val="24"/>
        </w:rPr>
      </w:pPr>
      <w:r>
        <w:rPr>
          <w:rFonts w:hint="eastAsia" w:ascii="仿宋_GB2312" w:eastAsia="仿宋_GB2312"/>
          <w:b/>
          <w:spacing w:val="20"/>
          <w:sz w:val="24"/>
          <w:szCs w:val="24"/>
        </w:rPr>
        <w:t>联系电话</w:t>
      </w:r>
      <w:r>
        <w:rPr>
          <w:rFonts w:hint="eastAsia" w:ascii="仿宋_GB2312" w:eastAsia="仿宋_GB2312"/>
          <w:b/>
          <w:sz w:val="24"/>
          <w:szCs w:val="24"/>
        </w:rPr>
        <w:t>：</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甲方受委托，定于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12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16</w:t>
      </w:r>
      <w:r>
        <w:rPr>
          <w:rFonts w:hint="eastAsia" w:ascii="仿宋_GB2312" w:hAnsi="宋体" w:eastAsia="仿宋_GB2312"/>
          <w:spacing w:val="-2"/>
          <w:szCs w:val="21"/>
        </w:rPr>
        <w:t>日09:</w:t>
      </w:r>
      <w:r>
        <w:rPr>
          <w:rFonts w:hint="eastAsia" w:ascii="仿宋_GB2312" w:hAnsi="宋体" w:eastAsia="仿宋_GB2312"/>
          <w:spacing w:val="-2"/>
          <w:szCs w:val="21"/>
          <w:lang w:val="en-US" w:eastAsia="zh-CN"/>
        </w:rPr>
        <w:t>3</w:t>
      </w:r>
      <w:r>
        <w:rPr>
          <w:rFonts w:hint="eastAsia" w:ascii="仿宋_GB2312" w:hAnsi="宋体" w:eastAsia="仿宋_GB2312"/>
          <w:spacing w:val="-2"/>
          <w:szCs w:val="21"/>
        </w:rPr>
        <w:t>0</w:t>
      </w:r>
      <w:r>
        <w:rPr>
          <w:rFonts w:hint="eastAsia" w:ascii="仿宋_GB2312" w:eastAsia="仿宋_GB2312" w:hAnsiTheme="minorEastAsia"/>
          <w:szCs w:val="21"/>
        </w:rPr>
        <w:t>在厦门市公共资源市场配置竞价系统(网址：</w:t>
      </w:r>
      <w:r>
        <w:rPr>
          <w:rFonts w:ascii="仿宋_GB2312" w:eastAsia="仿宋_GB2312" w:hAnsiTheme="minorEastAsia"/>
          <w:szCs w:val="21"/>
        </w:rPr>
        <w:t>http://117.25.161.110:8082/ggzyscpz</w:t>
      </w:r>
      <w:r>
        <w:rPr>
          <w:rFonts w:hint="eastAsia" w:ascii="仿宋_GB2312" w:eastAsia="仿宋_GB2312" w:hAnsiTheme="minorEastAsia"/>
          <w:szCs w:val="21"/>
        </w:rPr>
        <w:t>)采用网络电子竞价的方式举行</w:t>
      </w:r>
      <w:r>
        <w:rPr>
          <w:rFonts w:hint="eastAsia" w:ascii="仿宋_GB2312" w:hAnsi="宋体" w:eastAsia="仿宋_GB2312" w:cs="宋体"/>
          <w:kern w:val="0"/>
          <w:szCs w:val="21"/>
          <w:u w:val="single"/>
        </w:rPr>
        <w:t>2022年第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rPr>
        <w:t>批</w:t>
      </w:r>
      <w:r>
        <w:rPr>
          <w:rFonts w:hint="eastAsia" w:ascii="仿宋_GB2312" w:hAnsi="宋体" w:eastAsia="仿宋_GB2312" w:cs="宋体"/>
          <w:kern w:val="0"/>
          <w:szCs w:val="21"/>
          <w:u w:val="single"/>
          <w:lang w:eastAsia="zh-CN"/>
        </w:rPr>
        <w:t>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lang w:eastAsia="zh-CN"/>
        </w:rPr>
        <w:t>次</w:t>
      </w:r>
      <w:r>
        <w:rPr>
          <w:rFonts w:hint="eastAsia" w:ascii="仿宋_GB2312" w:hAnsi="宋体" w:eastAsia="仿宋_GB2312" w:cs="宋体"/>
          <w:kern w:val="0"/>
          <w:szCs w:val="21"/>
          <w:u w:val="single"/>
        </w:rPr>
        <w:t>保障房配套商业招租</w:t>
      </w:r>
      <w:r>
        <w:rPr>
          <w:rFonts w:hint="eastAsia" w:ascii="仿宋_GB2312" w:hAnsi="宋体" w:eastAsia="仿宋_GB2312" w:cs="宋体"/>
          <w:kern w:val="0"/>
          <w:szCs w:val="21"/>
        </w:rPr>
        <w:t>竞价会</w:t>
      </w:r>
      <w:r>
        <w:rPr>
          <w:rFonts w:hint="eastAsia" w:ascii="仿宋_GB2312" w:eastAsia="仿宋_GB2312" w:hAnsiTheme="minorEastAsia"/>
          <w:szCs w:val="21"/>
        </w:rPr>
        <w:t>，乙方自愿参加甲方举行的竞价会。甲、乙双方本着公开、公平、公正的原则，根据《中华人民共和国民法典》、《中华人民共和国拍卖法》等相关法律、法规、规章及相关司法解释，在充分协商的基础上签订本协议。</w:t>
      </w:r>
      <w:r>
        <w:rPr>
          <w:rFonts w:hint="eastAsia" w:ascii="仿宋_GB2312" w:eastAsia="仿宋_GB2312" w:hAnsiTheme="minorEastAsia"/>
          <w:szCs w:val="21"/>
        </w:rPr>
        <w:cr/>
      </w:r>
      <w:r>
        <w:rPr>
          <w:rFonts w:hint="eastAsia" w:ascii="仿宋_GB2312" w:eastAsia="仿宋_GB2312" w:hAnsiTheme="minorEastAsia"/>
          <w:b/>
          <w:szCs w:val="21"/>
        </w:rPr>
        <w:t>一、竞价标的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hAnsi="宋体" w:eastAsia="仿宋_GB2312" w:cs="宋体"/>
          <w:kern w:val="0"/>
          <w:szCs w:val="21"/>
          <w:u w:val="single"/>
        </w:rPr>
        <w:t>2022年第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rPr>
        <w:t>批</w:t>
      </w:r>
      <w:r>
        <w:rPr>
          <w:rFonts w:hint="eastAsia" w:ascii="仿宋_GB2312" w:hAnsi="宋体" w:eastAsia="仿宋_GB2312" w:cs="宋体"/>
          <w:kern w:val="0"/>
          <w:szCs w:val="21"/>
          <w:u w:val="single"/>
          <w:lang w:eastAsia="zh-CN"/>
        </w:rPr>
        <w:t>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lang w:eastAsia="zh-CN"/>
        </w:rPr>
        <w:t>次</w:t>
      </w:r>
      <w:r>
        <w:rPr>
          <w:rFonts w:hint="eastAsia" w:ascii="仿宋_GB2312" w:hAnsi="宋体" w:eastAsia="仿宋_GB2312" w:cs="宋体"/>
          <w:kern w:val="0"/>
          <w:szCs w:val="21"/>
          <w:u w:val="single"/>
        </w:rPr>
        <w:t>保障房配套商业招租</w:t>
      </w:r>
      <w:r>
        <w:rPr>
          <w:rFonts w:hint="eastAsia" w:ascii="仿宋_GB2312" w:eastAsia="仿宋_GB2312" w:hAnsiTheme="minorEastAsia"/>
          <w:szCs w:val="21"/>
        </w:rPr>
        <w:t xml:space="preserve"> (以下简称“标的”)，详见附件《竞价清单》。</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二、竞价标的调查义务</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本次竞价是以标的现状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包括地址</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面积</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房屋质量现状等</w:t>
      </w:r>
      <w:r>
        <w:rPr>
          <w:rFonts w:hint="eastAsia" w:ascii="仿宋_GB2312" w:hAnsi="Malgun Gothic Semilight" w:eastAsia="仿宋_GB2312" w:cs="Malgun Gothic Semilight"/>
          <w:spacing w:val="-2"/>
          <w:szCs w:val="21"/>
        </w:rPr>
        <w:t>)</w:t>
      </w:r>
      <w:r>
        <w:rPr>
          <w:rFonts w:hint="eastAsia" w:ascii="仿宋_GB2312" w:eastAsia="仿宋_GB2312" w:hAnsiTheme="minorEastAsia"/>
          <w:szCs w:val="21"/>
        </w:rPr>
        <w:t>进行竞价。甲方已经在竞价前通过</w:t>
      </w:r>
      <w:r>
        <w:rPr>
          <w:rFonts w:hint="eastAsia" w:ascii="仿宋_GB2312" w:hAnsi="微软雅黑" w:eastAsia="仿宋_GB2312" w:cs="微软雅黑"/>
          <w:spacing w:val="-2"/>
          <w:szCs w:val="21"/>
        </w:rPr>
        <w:t>相关媒体及网站上进行了公告和标的展示，同时</w:t>
      </w:r>
      <w:r>
        <w:rPr>
          <w:rFonts w:hint="eastAsia" w:ascii="仿宋_GB2312" w:eastAsia="仿宋_GB2312" w:hAnsiTheme="minorEastAsia"/>
          <w:szCs w:val="21"/>
        </w:rPr>
        <w:t>向乙方充分展示了标的涉及的文书材料和标的的实际状况，乙方在公告规定的展示期间内，已对标的进行了了解、咨询，自愿参加本次竞价。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三、标的瑕疵担保责任的免除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1、本次是以标的现状进行竞价，会前提供的各项数据仅供参考，甲方及委托人均不作保证。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2、因建筑设计等原因，房产实际可作为经营的使用价值不同，乙方需谨慎对房产进行实地的查验。甲方及委托人对标的的实际使用效用不作保证。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3、此次竞价的标的不以建筑面积为计价单位，甲方与委托人对每层房产的面积、质量等不作保证，标的实际建筑面积与产权登记及甲方提供的参考数据不一致的，不影响标的的成交价格。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bCs/>
          <w:szCs w:val="21"/>
        </w:rPr>
      </w:pPr>
      <w:r>
        <w:rPr>
          <w:rFonts w:hint="eastAsia" w:ascii="仿宋_GB2312" w:eastAsia="仿宋_GB2312" w:hAnsiTheme="minorEastAsia"/>
          <w:b/>
          <w:bCs/>
          <w:szCs w:val="21"/>
        </w:rPr>
        <w:t>4.标的物《中华人民共和国不动产权证书》尚未办理，竞标人需确认已知悉该情况，如拟经营需要提供《中华人民共和国不动产权证书》才能经营的项目，请不要参加本次竞拍。竞标人成为最终中标人后不得因此向招标人提出任何诉求，且竞标人应自行承担由此造成的一切后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四、竞价资格及竞价登记</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竞价资格：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hAnsi="宋体" w:eastAsia="仿宋_GB2312"/>
          <w:b/>
          <w:bCs/>
          <w:szCs w:val="21"/>
        </w:rPr>
      </w:pPr>
      <w:r>
        <w:rPr>
          <w:rFonts w:hint="eastAsia" w:ascii="仿宋_GB2312" w:hAnsi="宋体" w:eastAsia="仿宋_GB2312"/>
          <w:b/>
          <w:bCs/>
          <w:szCs w:val="21"/>
        </w:rPr>
        <w:t>1、非特定标的：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1)竞价人必须是具有完全民事行为能力的自然人，以及依法设立的法人和其他组织；</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2)资信良好，不得为失信被执行人及失信被执行人的法定代表人、主要负责人、实际控制人、影响债务履行的直接责任人员；</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default"/>
          <w:lang w:val="en-US" w:eastAsia="zh-CN"/>
        </w:rPr>
      </w:pPr>
      <w:r>
        <w:rPr>
          <w:rFonts w:hint="eastAsia" w:ascii="仿宋_GB2312" w:hAnsi="宋体" w:eastAsia="仿宋_GB2312"/>
          <w:szCs w:val="21"/>
        </w:rPr>
        <w:t>3)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w:t>
      </w:r>
      <w:r>
        <w:rPr>
          <w:rFonts w:hint="eastAsia" w:ascii="仿宋_GB2312" w:hAnsi="宋体" w:eastAsia="仿宋_GB2312"/>
          <w:szCs w:val="21"/>
          <w:lang w:eastAsia="zh-CN"/>
        </w:rPr>
        <w:t>；不得从事废品回收行业。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办理竞价登记：</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1、单位携带公章并准备工商营业执照，法人身份证件，经办人身份证件(上述资料复印件1套，须个人签名、单位盖章，携原件备查)，授权委托书，竞价保证金银行转账凭证(公对公转账)；</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2、个人携带身份证件、竞价保证金银行转账凭证到现场报名；</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ascii="仿宋_GB2312" w:hAnsi="微软雅黑" w:eastAsia="仿宋_GB2312" w:cs="微软雅黑"/>
          <w:spacing w:val="-2"/>
          <w:szCs w:val="21"/>
        </w:rPr>
        <w:t>3</w:t>
      </w:r>
      <w:r>
        <w:rPr>
          <w:rFonts w:hint="eastAsia" w:ascii="仿宋_GB2312" w:hAnsi="微软雅黑" w:eastAsia="仿宋_GB2312" w:cs="微软雅黑"/>
          <w:spacing w:val="-2"/>
          <w:szCs w:val="21"/>
        </w:rPr>
        <w:t>、竞价人应于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12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14</w:t>
      </w:r>
      <w:r>
        <w:rPr>
          <w:rFonts w:hint="eastAsia" w:ascii="仿宋_GB2312" w:hAnsi="宋体" w:eastAsia="仿宋_GB2312"/>
          <w:spacing w:val="-2"/>
          <w:szCs w:val="21"/>
        </w:rPr>
        <w:t>日9:00</w:t>
      </w:r>
      <w:r>
        <w:rPr>
          <w:rFonts w:hint="eastAsia" w:ascii="仿宋_GB2312" w:hAnsi="微软雅黑" w:eastAsia="仿宋_GB2312" w:cs="微软雅黑"/>
          <w:spacing w:val="-2"/>
          <w:szCs w:val="21"/>
        </w:rPr>
        <w:t>时至</w:t>
      </w:r>
      <w:r>
        <w:rPr>
          <w:rFonts w:hint="eastAsia" w:ascii="仿宋_GB2312" w:hAnsi="宋体" w:eastAsia="仿宋_GB2312"/>
          <w:spacing w:val="-2"/>
          <w:szCs w:val="21"/>
        </w:rPr>
        <w:t>17:00</w:t>
      </w:r>
      <w:r>
        <w:rPr>
          <w:rFonts w:hint="eastAsia" w:ascii="仿宋_GB2312" w:hAnsi="微软雅黑" w:eastAsia="仿宋_GB2312" w:cs="微软雅黑"/>
          <w:spacing w:val="-2"/>
          <w:szCs w:val="21"/>
        </w:rPr>
        <w:t>时工作时间持有效证件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汇款凭证及文书到云顶北路</w:t>
      </w:r>
      <w:r>
        <w:rPr>
          <w:rFonts w:hint="eastAsia" w:ascii="仿宋_GB2312" w:hAnsi="宋体" w:eastAsia="仿宋_GB2312"/>
          <w:spacing w:val="-2"/>
          <w:szCs w:val="21"/>
        </w:rPr>
        <w:t>842</w:t>
      </w:r>
      <w:r>
        <w:rPr>
          <w:rFonts w:hint="eastAsia" w:ascii="仿宋_GB2312" w:hAnsi="微软雅黑" w:eastAsia="仿宋_GB2312" w:cs="微软雅黑"/>
          <w:spacing w:val="-2"/>
          <w:szCs w:val="21"/>
        </w:rPr>
        <w:t>号市行政服务中心</w:t>
      </w:r>
      <w:bookmarkStart w:id="0" w:name="_Hlk1578528"/>
      <w:r>
        <w:rPr>
          <w:rFonts w:hint="eastAsia" w:ascii="仿宋_GB2312" w:hAnsi="微软雅黑" w:eastAsia="仿宋_GB2312" w:cs="微软雅黑"/>
          <w:spacing w:val="-2"/>
          <w:szCs w:val="21"/>
        </w:rPr>
        <w:t>四楼信息发布大厅2</w:t>
      </w:r>
      <w:r>
        <w:rPr>
          <w:rFonts w:hint="eastAsia" w:ascii="仿宋_GB2312" w:hAnsi="微软雅黑" w:eastAsia="仿宋_GB2312" w:cs="微软雅黑"/>
          <w:spacing w:val="-2"/>
          <w:szCs w:val="21"/>
          <w:lang w:val="en-US" w:eastAsia="zh-CN"/>
        </w:rPr>
        <w:t>1</w:t>
      </w:r>
      <w:r>
        <w:rPr>
          <w:rFonts w:ascii="仿宋_GB2312" w:hAnsi="微软雅黑" w:eastAsia="仿宋_GB2312" w:cs="微软雅黑"/>
          <w:spacing w:val="-2"/>
          <w:szCs w:val="21"/>
        </w:rPr>
        <w:t>号窗口</w:t>
      </w:r>
      <w:bookmarkEnd w:id="0"/>
      <w:r>
        <w:rPr>
          <w:rFonts w:hint="eastAsia" w:ascii="仿宋_GB2312" w:hAnsi="微软雅黑" w:eastAsia="仿宋_GB2312" w:cs="微软雅黑"/>
          <w:spacing w:val="-2"/>
          <w:szCs w:val="21"/>
        </w:rPr>
        <w:t>办理竞价手续</w:t>
      </w:r>
      <w:r>
        <w:rPr>
          <w:rFonts w:hint="eastAsia" w:ascii="仿宋_GB2312" w:hAnsi="Malgun Gothic Semilight" w:eastAsia="仿宋_GB2312" w:cs="Malgun Gothic Semilight"/>
          <w:spacing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ascii="仿宋_GB2312" w:hAnsi="微软雅黑" w:eastAsia="仿宋_GB2312" w:cs="微软雅黑"/>
          <w:spacing w:val="-2"/>
          <w:szCs w:val="21"/>
        </w:rPr>
        <w:t>4</w:t>
      </w:r>
      <w:r>
        <w:rPr>
          <w:rFonts w:hint="eastAsia" w:ascii="仿宋_GB2312" w:hAnsi="微软雅黑" w:eastAsia="仿宋_GB2312" w:cs="微软雅黑"/>
          <w:spacing w:val="-2"/>
          <w:szCs w:val="21"/>
        </w:rPr>
        <w:t>、</w:t>
      </w:r>
      <w:r>
        <w:rPr>
          <w:rFonts w:hint="eastAsia" w:ascii="仿宋_GB2312" w:hAnsi="Malgun Gothic Semilight" w:eastAsia="仿宋_GB2312" w:cs="Malgun Gothic Semilight"/>
          <w:spacing w:val="-2"/>
          <w:szCs w:val="21"/>
        </w:rPr>
        <w:t>根据委托人《商户信用管理办法(试行)》</w:t>
      </w:r>
      <w:r>
        <w:rPr>
          <w:rFonts w:hint="eastAsia" w:ascii="仿宋_GB2312" w:hAnsi="微软雅黑" w:eastAsia="仿宋_GB2312" w:cs="微软雅黑"/>
          <w:spacing w:val="-2"/>
          <w:szCs w:val="21"/>
        </w:rPr>
        <w:t>规定，已列入商户失信黑名单的不得报名参加竞价。根据委托人要求</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所有竞价人的竞价资料须经委托人审核通过后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方可取得竞价资格</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意向竞价人应提供真实资料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因意向竞价人提供不实资料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进行虚假陈述</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隐瞒事实真相所造成的一切后果</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应自行承担相应的法律责任及后果</w:t>
      </w:r>
      <w:r>
        <w:rPr>
          <w:rFonts w:hint="eastAsia" w:ascii="仿宋_GB2312" w:hAnsi="Malgun Gothic Semilight" w:eastAsia="仿宋_GB2312" w:cs="Malgun Gothic Semilight"/>
          <w:spacing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五、竞价保证金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1、乙方参加标的竞价应交纳标的相应的竞价保证金人民币共</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hAnsiTheme="minorEastAsia"/>
          <w:szCs w:val="21"/>
        </w:rPr>
        <w:t>元整。</w:t>
      </w:r>
      <w:r>
        <w:rPr>
          <w:rFonts w:hint="eastAsia" w:ascii="仿宋_GB2312" w:eastAsia="仿宋_GB2312" w:hAnsiTheme="minorEastAsia"/>
          <w:kern w:val="0"/>
          <w:szCs w:val="21"/>
        </w:rPr>
        <w:t>竞价人可选择参与保证金金额要求不高于所缴纳保证金金额的所有意向标的竞买，</w:t>
      </w:r>
      <w:r>
        <w:rPr>
          <w:rFonts w:hint="eastAsia" w:ascii="仿宋_GB2312" w:eastAsia="仿宋_GB2312" w:hAnsiTheme="minorEastAsia"/>
          <w:szCs w:val="21"/>
        </w:rPr>
        <w:t>竞得后扣除竞得标的所需保证金后剩余的有效保证金符合下一意向标的竞价保证金要求的，方可继续参与竞价。有意竞得多个意向标的的竞价人应当缴纳足额的竞价保证金。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竞价保证金应在</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12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14</w:t>
      </w:r>
      <w:r>
        <w:rPr>
          <w:rFonts w:hint="eastAsia" w:ascii="仿宋_GB2312" w:hAnsi="微软雅黑" w:eastAsia="仿宋_GB2312" w:cs="微软雅黑"/>
          <w:spacing w:val="-2"/>
          <w:szCs w:val="21"/>
        </w:rPr>
        <w:t>日</w:t>
      </w:r>
      <w:r>
        <w:rPr>
          <w:rFonts w:hint="eastAsia" w:ascii="仿宋_GB2312" w:eastAsia="仿宋_GB2312" w:hAnsiTheme="minorEastAsia"/>
          <w:szCs w:val="21"/>
        </w:rPr>
        <w:t>16:30时前汇至甲方指定账户，竞价保证金以到账为准。并于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12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14</w:t>
      </w:r>
      <w:r>
        <w:rPr>
          <w:rFonts w:hint="eastAsia" w:ascii="仿宋_GB2312" w:hAnsi="宋体" w:eastAsia="仿宋_GB2312"/>
          <w:spacing w:val="-2"/>
          <w:szCs w:val="21"/>
        </w:rPr>
        <w:t>日</w:t>
      </w:r>
      <w:r>
        <w:rPr>
          <w:rFonts w:hint="eastAsia" w:ascii="仿宋_GB2312" w:eastAsia="仿宋_GB2312" w:hAnsiTheme="minorEastAsia"/>
          <w:szCs w:val="21"/>
        </w:rPr>
        <w:t>9:00时至1</w:t>
      </w:r>
      <w:r>
        <w:rPr>
          <w:rFonts w:ascii="仿宋_GB2312" w:eastAsia="仿宋_GB2312" w:hAnsiTheme="minorEastAsia"/>
          <w:szCs w:val="21"/>
        </w:rPr>
        <w:t>7</w:t>
      </w:r>
      <w:r>
        <w:rPr>
          <w:rFonts w:hint="eastAsia" w:ascii="仿宋_GB2312" w:eastAsia="仿宋_GB2312" w:hAnsiTheme="minorEastAsia"/>
          <w:szCs w:val="21"/>
        </w:rPr>
        <w:t>:</w:t>
      </w:r>
      <w:r>
        <w:rPr>
          <w:rFonts w:ascii="仿宋_GB2312" w:eastAsia="仿宋_GB2312" w:hAnsiTheme="minorEastAsia"/>
          <w:szCs w:val="21"/>
        </w:rPr>
        <w:t>0</w:t>
      </w:r>
      <w:r>
        <w:rPr>
          <w:rFonts w:hint="eastAsia" w:ascii="仿宋_GB2312" w:eastAsia="仿宋_GB2312" w:hAnsiTheme="minorEastAsia"/>
          <w:szCs w:val="21"/>
        </w:rPr>
        <w:t>0时持有效证件及保证金交款凭证，到</w:t>
      </w:r>
      <w:r>
        <w:rPr>
          <w:rFonts w:hint="eastAsia" w:ascii="仿宋_GB2312" w:eastAsia="仿宋_GB2312" w:cs="宋体" w:hAnsiTheme="minorEastAsia"/>
          <w:kern w:val="0"/>
          <w:szCs w:val="21"/>
        </w:rPr>
        <w:t>云顶北路842号市行政服务中心四楼信息发布大厅</w:t>
      </w:r>
      <w:r>
        <w:rPr>
          <w:rFonts w:hint="eastAsia" w:ascii="仿宋_GB2312" w:eastAsia="仿宋_GB2312" w:cs="宋体" w:hAnsiTheme="minorEastAsia"/>
          <w:kern w:val="0"/>
          <w:szCs w:val="21"/>
          <w:lang w:val="en-US" w:eastAsia="zh-CN"/>
        </w:rPr>
        <w:t>21</w:t>
      </w:r>
      <w:r>
        <w:rPr>
          <w:rFonts w:ascii="仿宋_GB2312" w:eastAsia="仿宋_GB2312" w:cs="宋体" w:hAnsiTheme="minorEastAsia"/>
          <w:kern w:val="0"/>
          <w:szCs w:val="21"/>
        </w:rPr>
        <w:t>号窗口</w:t>
      </w:r>
      <w:r>
        <w:rPr>
          <w:rFonts w:hint="eastAsia" w:ascii="仿宋_GB2312" w:eastAsia="仿宋_GB2312" w:hAnsiTheme="minorEastAsia"/>
          <w:szCs w:val="21"/>
        </w:rPr>
        <w:t>办理报名手续。</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3、如乙方未能竞得标的，竞价保证金在成交结果公示7日无异议后的5个工作日内全额无息退还至乙方预留银行账户。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4、如乙方未通过委托人的资格审核，竞价保证金在资格审查结束之日起2个工作日内全额无息退还至乙方预留银行账户。</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六、竞价操作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办理报名手续后收到的短信只是登陆系统的登录名和密码，是否具有相关标的竞价资格须待业主审查确认。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资格审核通过后，请使用IE浏览器(8.0以上版本)输入网址竞价网址， 打开网页后，输入登录名、密码以及手机验证码登陆系统。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3、本次竞价采用网络电子竞价方式进行，竞价的起止时间以电子竞价系统的服务器时间为准。竞价采取以下操作流程。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1)竞价顺序</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w:t>
      </w:r>
      <w:r>
        <w:rPr>
          <w:rFonts w:hint="eastAsia" w:ascii="仿宋_GB2312" w:eastAsia="仿宋_GB2312" w:hAnsiTheme="minorEastAsia"/>
          <w:color w:val="auto"/>
          <w:szCs w:val="21"/>
        </w:rPr>
        <w:t>价共</w:t>
      </w:r>
      <w:r>
        <w:rPr>
          <w:rFonts w:hint="eastAsia" w:ascii="仿宋_GB2312" w:eastAsia="仿宋_GB2312" w:hAnsiTheme="minorEastAsia"/>
          <w:color w:val="auto"/>
          <w:szCs w:val="21"/>
          <w:lang w:val="en-US" w:eastAsia="zh-CN"/>
        </w:rPr>
        <w:t>5个标的</w:t>
      </w:r>
      <w:r>
        <w:rPr>
          <w:rFonts w:hint="eastAsia" w:ascii="仿宋_GB2312" w:eastAsia="仿宋_GB2312" w:hAnsiTheme="minorEastAsia"/>
          <w:szCs w:val="21"/>
        </w:rPr>
        <w:t>，详见《竞价清单》，甲方将按委托标的序号的顺序依次竞价(遇无人报名标的将自动跳过</w:t>
      </w:r>
      <w:r>
        <w:rPr>
          <w:rFonts w:ascii="仿宋_GB2312" w:eastAsia="仿宋_GB2312" w:hAnsiTheme="minorEastAsia"/>
          <w:szCs w:val="21"/>
        </w:rPr>
        <w:t>)</w:t>
      </w:r>
      <w:r>
        <w:rPr>
          <w:rFonts w:hint="eastAsia" w:ascii="仿宋_GB2312" w:eastAsia="仿宋_GB2312" w:hAnsiTheme="minorEastAsia"/>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2)报价时间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本次竞价各个标的自由报价期开始时间以电子竞价系统的服务器时间为准。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各标的竞价由自由报价期</w:t>
      </w:r>
      <w:r>
        <w:rPr>
          <w:rFonts w:ascii="仿宋_GB2312" w:eastAsia="仿宋_GB2312" w:hAnsiTheme="minorEastAsia"/>
          <w:szCs w:val="21"/>
        </w:rPr>
        <w:t>5</w:t>
      </w:r>
      <w:r>
        <w:rPr>
          <w:rFonts w:hint="eastAsia" w:ascii="仿宋_GB2312" w:eastAsia="仿宋_GB2312" w:hAnsiTheme="minorEastAsia"/>
          <w:szCs w:val="21"/>
        </w:rPr>
        <w:t>分钟，自由报价结束后立即自动进入延时报价期。延时报价期可由多个延时报价周期组成，每个延时报价周期为</w:t>
      </w:r>
      <w:r>
        <w:rPr>
          <w:rFonts w:ascii="仿宋_GB2312" w:eastAsia="仿宋_GB2312" w:hAnsiTheme="minorEastAsia"/>
          <w:szCs w:val="21"/>
        </w:rPr>
        <w:t>2</w:t>
      </w:r>
      <w:r>
        <w:rPr>
          <w:rFonts w:hint="eastAsia" w:ascii="仿宋_GB2312" w:eastAsia="仿宋_GB2312" w:hAnsiTheme="minorEastAsia"/>
          <w:szCs w:val="21"/>
        </w:rPr>
        <w:t>分钟。在一个延时报价周期内，如出现有效报价，则立即自动进入新一轮的延时报价周期；在一个延时报价周期内如未出现有效报价，则本次竞价结束。自由报价期竞价人可以多次报价。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3)报价的有效性</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竞价会的首个报价只需不低于标的底价即为有效。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第二个报价起，以人民币</w:t>
      </w:r>
      <w:r>
        <w:rPr>
          <w:rFonts w:hint="eastAsia" w:ascii="仿宋_GB2312" w:eastAsia="仿宋_GB2312" w:hAnsiTheme="minorEastAsia"/>
          <w:szCs w:val="21"/>
          <w:u w:val="single"/>
        </w:rPr>
        <w:t xml:space="preserve">  拾元/月</w:t>
      </w:r>
      <w:r>
        <w:rPr>
          <w:rFonts w:hint="eastAsia" w:ascii="仿宋_GB2312" w:eastAsia="仿宋_GB2312" w:hAnsiTheme="minorEastAsia"/>
          <w:szCs w:val="21"/>
        </w:rPr>
        <w:t>(详见《竞价清单》)为基本报价单位，报价中含有基本报价单位以下金额的，系统将自动舍去基本报价单位以下的金额为有效报价。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第二个报价起，每次报价不得低于当前最高有效报价加上系统设定的最低加价幅度(详见《竞价清单》)，不限最高报价。</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line="380" w:lineRule="exact"/>
        <w:ind w:firstLineChars="0"/>
        <w:textAlignment w:val="auto"/>
        <w:rPr>
          <w:rFonts w:ascii="仿宋_GB2312" w:eastAsia="仿宋_GB2312" w:hAnsiTheme="minorEastAsia"/>
          <w:szCs w:val="21"/>
        </w:rPr>
      </w:pPr>
      <w:r>
        <w:rPr>
          <w:rFonts w:hint="eastAsia" w:ascii="仿宋_GB2312" w:eastAsia="仿宋_GB2312" w:hAnsiTheme="minorEastAsia"/>
          <w:szCs w:val="21"/>
        </w:rPr>
        <w:t>最终中标人的确定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szCs w:val="21"/>
        </w:rPr>
      </w:pPr>
      <w:r>
        <w:rPr>
          <w:rFonts w:hint="eastAsia" w:ascii="仿宋_GB2312" w:eastAsia="仿宋_GB2312" w:hAnsiTheme="minor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七、特别约定与网络竞价风险提示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 xml:space="preserve">2、发生下列情形之一的，主持人有权中止、终结竞价活动或在竞价活动结束后宣布结果为无效: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1)系统服务器所处互联网络或中心网络出现故障的；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2)系统服务器硬件或软件等出现故障的；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3)包括但不限于标的权属不符、标的性状改变等原因而使竞价活动产生争议的；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4)发现竞价标的存在违反法律法规、政府规章规定不得转让或应当中止转让的或发现竞价人竞价存在违法或违规情形可能会影响到竞价活动的公开、公平、公正进行的；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5)其它甲方认为需要中止或终结竞价活动的情形。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竞价活动中止、终结或竞价结果为无效的，甲方可择期按其它公开、公平、公正的方式重新竞价，相关事宜将另行通知各竞价人。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3、因竞价人如下行为产生的一切后果，甲方不承担任何责任: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1)所提交的信息不真实、不准确或不完整的；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2)未及时关注甲方、委托人发布的竞价活动相关的公告，未及时登录系统参加竞价的；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3)竞价人因以下原因未能登录系统参加竞价的: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(1)自身报价终端设备故障和互联网络异常；</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(2)自身通信设备故障；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(3)移动通信运营商与用户之间的通信故障导致用户未能及时接收系统短信验证码。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(4)竞价人自身终端设备时间与竞价系统服务器不符的(竞价活动的时间以竞价系统服务器时间为准)。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4、网上竞价风险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1)互联网是全球公共网络，并不受任何一个机构所控制。数据在互联网上传输的途径不是完全确定的。互联网本身并不是绝对安全可靠的环境。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2)在互联网上传输的数据有可能被某些个人、团体或机构通过某种渠道获得。</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3)互联网上的数据传输可能因通信繁忙出现延迟，或因其他原因出现停顿、中断或数据不完全、数据错误等情况，从而使系统服务出现延迟、停顿或中断。</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4)互联网上发布的各种信息可能出现错误。</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5)竞价人在系统上身份可能会被仿冒。网上竞价人自身计算机性能、质量、病毒、故障及其他原因，可能会影响响应时间或数据，给甲方和委托人带来损失。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6)竞价人自身计算机应用操作能力及互联网知识的缺乏带来损失。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7)竞价人自身的疏乎造成账号或密码泄漏，可能会给甲方造成损失。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8)竞价人必须充分估计上述原因导致网上出价不同所带来的风险，如果发生上述情况以及本人操作差错所造成的损失由竞价人承担，甲方不负有任何责任。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八、成交价款、竞价佣金</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成交后，乙方应在三个工作日内自行下载打印《成交结果确认书》一式五份并签字/签章后至甲方所在地完成《成交结果确认书》的签署，也可采用邮寄方式完成签署。乙方应在竞价结果公示期结束后五个工作日内凭甲方盖章后的《成交结果确认书》与委托人签订《房屋租赁合同》</w:t>
      </w:r>
      <w:r>
        <w:rPr>
          <w:rFonts w:ascii="仿宋_GB2312" w:eastAsia="仿宋_GB2312" w:hAnsiTheme="minorEastAsia"/>
          <w:szCs w:val="21"/>
        </w:rPr>
        <w:t>(</w:t>
      </w:r>
      <w:r>
        <w:rPr>
          <w:rFonts w:hint="eastAsia" w:ascii="仿宋_GB2312" w:eastAsia="仿宋_GB2312" w:hAnsiTheme="minorEastAsia"/>
          <w:szCs w:val="21"/>
        </w:rPr>
        <w:t>含租赁相关文件等)并按《房屋租赁合同》条款约特定委托人支付租金及履约保证金。成交人不签或拒签相关成交文件，并不免除其应承担的相应法律责任。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eastAsia="仿宋_GB2312" w:hAnsiTheme="minorEastAsia"/>
          <w:szCs w:val="21"/>
        </w:rPr>
      </w:pPr>
      <w:r>
        <w:rPr>
          <w:rFonts w:hint="eastAsia" w:ascii="仿宋_GB2312" w:hAnsi="仿宋_GB2312" w:eastAsia="仿宋_GB2312" w:cs="仿宋_GB2312"/>
          <w:spacing w:val="-2"/>
          <w:szCs w:val="21"/>
        </w:rPr>
        <w:t>甲方收件地址：</w:t>
      </w:r>
      <w:r>
        <w:rPr>
          <w:rFonts w:hint="eastAsia" w:ascii="仿宋_GB2312" w:hAnsi="仿宋_GB2312" w:eastAsia="仿宋_GB2312" w:cs="仿宋_GB2312"/>
          <w:bCs/>
          <w:color w:val="000000"/>
          <w:szCs w:val="21"/>
        </w:rPr>
        <w:t>厦门市思明区</w:t>
      </w:r>
      <w:r>
        <w:rPr>
          <w:rFonts w:hint="eastAsia" w:ascii="仿宋_GB2312" w:hAnsi="仿宋_GB2312" w:eastAsia="仿宋_GB2312" w:cs="仿宋_GB2312"/>
          <w:bCs/>
          <w:color w:val="000000"/>
          <w:szCs w:val="21"/>
          <w:lang w:val="en-US" w:eastAsia="zh-CN"/>
        </w:rPr>
        <w:t>湖滨西路9号A幢801单元</w:t>
      </w:r>
      <w:r>
        <w:rPr>
          <w:rFonts w:hint="eastAsia" w:ascii="仿宋_GB2312" w:hAnsi="仿宋_GB2312" w:eastAsia="仿宋_GB2312" w:cs="仿宋_GB2312"/>
          <w:bCs/>
          <w:spacing w:val="-2"/>
          <w:szCs w:val="21"/>
        </w:rPr>
        <w:t>(</w:t>
      </w:r>
      <w:r>
        <w:rPr>
          <w:rFonts w:hint="eastAsia" w:ascii="仿宋_GB2312" w:hAnsi="仿宋_GB2312" w:eastAsia="仿宋_GB2312" w:cs="仿宋_GB2312"/>
          <w:bCs/>
          <w:color w:val="000000"/>
          <w:szCs w:val="21"/>
          <w:shd w:val="clear" w:color="auto" w:fill="FFFFFF"/>
        </w:rPr>
        <w:t>福建省</w:t>
      </w:r>
      <w:r>
        <w:rPr>
          <w:rFonts w:hint="eastAsia" w:ascii="仿宋_GB2312" w:hAnsi="仿宋_GB2312" w:eastAsia="仿宋_GB2312" w:cs="仿宋_GB2312"/>
          <w:bCs/>
          <w:color w:val="000000"/>
          <w:szCs w:val="21"/>
          <w:shd w:val="clear" w:color="auto" w:fill="FFFFFF"/>
          <w:lang w:val="en-US" w:eastAsia="zh-CN"/>
        </w:rPr>
        <w:t>鹏翰</w:t>
      </w:r>
      <w:r>
        <w:rPr>
          <w:rFonts w:hint="eastAsia" w:ascii="仿宋_GB2312" w:hAnsi="仿宋_GB2312" w:eastAsia="仿宋_GB2312" w:cs="仿宋_GB2312"/>
          <w:bCs/>
          <w:color w:val="000000"/>
          <w:szCs w:val="21"/>
          <w:shd w:val="clear" w:color="auto" w:fill="FFFFFF"/>
        </w:rPr>
        <w:t>拍卖有限公司</w:t>
      </w:r>
      <w:r>
        <w:rPr>
          <w:rFonts w:hint="eastAsia" w:ascii="仿宋_GB2312" w:hAnsi="仿宋_GB2312" w:eastAsia="仿宋_GB2312" w:cs="仿宋_GB2312"/>
          <w:bCs/>
          <w:spacing w:val="-2"/>
          <w:szCs w:val="21"/>
        </w:rPr>
        <w:t>)，收件人:</w:t>
      </w:r>
      <w:r>
        <w:rPr>
          <w:rFonts w:hint="eastAsia" w:ascii="仿宋_GB2312" w:hAnsi="仿宋_GB2312" w:eastAsia="仿宋_GB2312" w:cs="仿宋_GB2312"/>
          <w:bCs/>
          <w:color w:val="000000"/>
          <w:szCs w:val="21"/>
          <w:lang w:val="en-US" w:eastAsia="zh-CN"/>
        </w:rPr>
        <w:t>刘静</w:t>
      </w: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kern w:val="11"/>
          <w:szCs w:val="21"/>
        </w:rPr>
        <w:t>电话：</w:t>
      </w:r>
      <w:r>
        <w:rPr>
          <w:rFonts w:hint="eastAsia" w:ascii="仿宋_GB2312" w:hAnsi="仿宋_GB2312" w:eastAsia="仿宋_GB2312" w:cs="仿宋_GB2312"/>
          <w:bCs/>
          <w:color w:val="000000"/>
          <w:kern w:val="11"/>
          <w:szCs w:val="21"/>
          <w:lang w:val="en-US" w:eastAsia="zh-CN"/>
        </w:rPr>
        <w:t>18059289190</w:t>
      </w:r>
      <w:r>
        <w:rPr>
          <w:rFonts w:hint="eastAsia" w:ascii="仿宋_GB2312" w:hAnsi="微软雅黑" w:eastAsia="仿宋_GB2312" w:cs="微软雅黑"/>
          <w:spacing w:val="-2"/>
          <w:szCs w:val="21"/>
        </w:rPr>
        <w:t>。</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3、付款期限：竞价成交后，最终中标人须按本协议及《房屋租赁合同》约定支付成交标的价款及佣金。</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九、竞价标的的交付与转移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、乙方若要求水、电、空调、通讯等公用事业供应扩容，须事先征得甲方同意，并报有关部门批准后方可实施扩容工程，因此发生的全部费用(包括甲方配合乙方进行管线调整等)及风险由乙方承担。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3、签约时间及合同生效时间：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szCs w:val="21"/>
        </w:rPr>
        <w:t>1</w:t>
      </w:r>
      <w:r>
        <w:rPr>
          <w:rFonts w:ascii="仿宋_GB2312" w:eastAsia="仿宋_GB2312" w:hAnsiTheme="minorEastAsia"/>
          <w:szCs w:val="21"/>
        </w:rPr>
        <w:t>)</w:t>
      </w:r>
      <w:r>
        <w:rPr>
          <w:rFonts w:hint="eastAsia" w:ascii="仿宋_GB2312" w:eastAsia="仿宋_GB2312" w:hAnsiTheme="minorEastAsia"/>
          <w:szCs w:val="21"/>
        </w:rPr>
        <w:t>中标人应在成交结果公示期满后的5个工作日内与委托人签订《房屋租赁合同》，具体签约时间和地点以</w:t>
      </w:r>
      <w:r>
        <w:rPr>
          <w:rFonts w:hint="eastAsia" w:ascii="仿宋_GB2312" w:eastAsia="仿宋_GB2312" w:hAnsiTheme="minorEastAsia"/>
          <w:color w:val="auto"/>
          <w:szCs w:val="21"/>
        </w:rPr>
        <w:t>委托人发出的通知短信/电话为准。中标人如需调整签约时间应提前向委托人提出申请，但需在委托人通知的时间之日起5个工作日内完成签约，若中标人延期签订合同时间超过委托人通知的时间5个工作日的，委托人有权取消中标人中标资格，竞价保证金不予退还，竞价标的另行招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2)厦门安居集团有限公司授权其全资子公司厦门安居置业有限公司，以厦门安居置业有限公司名义与中标人签订该批次《房屋租赁合同》，并享有合同约定的权利，履行合同约定的义务，承担合同约定的责任。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4、其他：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1)租赁期内，以租赁房屋所在地为注册地址的商事主体，若该商事主体为个体商户，则其营业执照上的经营者为承租户本人，若该商事主体为公司法人或合伙企业则股东或合伙人之一须为承租人本人。须在开业一个月内将全部证照报委托人备案存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color w:val="auto"/>
          <w:szCs w:val="21"/>
        </w:rPr>
      </w:pPr>
      <w:r>
        <w:rPr>
          <w:rFonts w:hint="eastAsia" w:ascii="仿宋_GB2312" w:eastAsia="仿宋_GB2312" w:hAnsiTheme="minorEastAsia"/>
          <w:color w:val="auto"/>
          <w:szCs w:val="21"/>
        </w:rPr>
        <w:t>2)商用停车位由属地物业管理公司统一规划，有偿使用。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color w:val="auto"/>
          <w:szCs w:val="21"/>
        </w:rPr>
      </w:pPr>
      <w:r>
        <w:rPr>
          <w:rFonts w:hint="eastAsia" w:ascii="仿宋_GB2312" w:eastAsia="仿宋_GB2312" w:hAnsiTheme="minorEastAsia"/>
          <w:color w:val="auto"/>
          <w:szCs w:val="21"/>
        </w:rPr>
        <w:t>3)当前正处于新冠肺炎疫情防控期，请各意向竞价人在竞价报名前及竞价过程中充分考虑疫情对店面经营可能产生的影响，合理预估后续经营的风险承受能力，理性参与竞价。竞价活动各环节均具有相应的法律效力，意向竞价人报名竞价，即视为理解并自愿接受相关法律法规和竞价协议书的约束，一旦中标，均须诚信履约，不得以疫情影响等为由主张无条件毁约或租金减免</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eastAsia="仿宋_GB2312"/>
          <w:lang w:eastAsia="zh-CN"/>
        </w:rPr>
      </w:pPr>
      <w:r>
        <w:rPr>
          <w:rFonts w:hint="eastAsia" w:ascii="仿宋_GB2312" w:eastAsia="仿宋_GB2312" w:hAnsiTheme="minorEastAsia"/>
          <w:szCs w:val="21"/>
        </w:rPr>
        <w:t>4）部分标的为住宅楼底层裙楼沿街店面，距离上部住宅较近，根据《厦门市环境保护条例》符合国家法律法规规定的行业，完全符合消防、环保等相关法律法规要求的行业；不会产生噪音扰民的行业；不会产生油烟扰民的餐饮行业，不得使用明火，不得从事废品回收行业。如经营过程中产生噪音扰民等行为，导致周边居民信访，且拒不整改的，将与其解除租赁合同。</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szCs w:val="21"/>
        </w:rPr>
      </w:pPr>
      <w:r>
        <w:rPr>
          <w:rFonts w:hint="eastAsia" w:ascii="仿宋_GB2312" w:eastAsia="仿宋_GB2312" w:hAnsiTheme="minorEastAsia"/>
          <w:szCs w:val="21"/>
        </w:rPr>
        <w:t>5）承租人可对租赁房屋进行装修或改造，但装修/改造/设备安装方案应事先以书面方式征得招标人及物业管理处书面同意并向相关主管部门（如消防、环保、卫生等）申请取得相关批文批件后方可施工，招标人将视承租人装修/改造情况酌情收取装修恢复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lang w:val="en-US" w:eastAsia="zh-CN"/>
        </w:rPr>
        <w:t>6</w:t>
      </w:r>
      <w:r>
        <w:rPr>
          <w:rFonts w:hint="eastAsia" w:ascii="仿宋_GB2312" w:eastAsia="仿宋_GB2312" w:hAnsiTheme="minorEastAsia"/>
          <w:szCs w:val="21"/>
          <w:lang w:eastAsia="zh-CN"/>
        </w:rPr>
        <w:t>）</w:t>
      </w:r>
      <w:r>
        <w:rPr>
          <w:rFonts w:hint="eastAsia" w:ascii="仿宋_GB2312" w:eastAsia="仿宋_GB2312" w:hAnsiTheme="minorEastAsia"/>
          <w:szCs w:val="21"/>
        </w:rPr>
        <w:t>租赁期间，不排除存在相关方于店面周边公共区域增设公共设施的可能性，包括但不限于在店面周边公共区域设置电动自行车停车棚、摆放健身器械等。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bCs/>
          <w:szCs w:val="21"/>
        </w:rPr>
      </w:pPr>
      <w:r>
        <w:rPr>
          <w:rFonts w:hint="eastAsia" w:ascii="仿宋_GB2312" w:eastAsia="仿宋_GB2312" w:hAnsiTheme="minorEastAsia"/>
          <w:b/>
          <w:bCs/>
          <w:szCs w:val="21"/>
          <w:lang w:val="en-US" w:eastAsia="zh-CN"/>
        </w:rPr>
        <w:t>7</w:t>
      </w:r>
      <w:r>
        <w:rPr>
          <w:rFonts w:hint="eastAsia" w:ascii="仿宋_GB2312" w:eastAsia="仿宋_GB2312" w:hAnsiTheme="minorEastAsia"/>
          <w:b/>
          <w:bCs/>
          <w:szCs w:val="21"/>
        </w:rPr>
        <w:t>）标的物《中华人民共和国不动产权证书》尚未办理，竞标人需确认已知悉该情况，如拟经营需要提供《中华人民共和国不动产权证书》才能经营的项目，请不要参加本次竞拍。竞标人成为最终中标人后不得因此向招标人提出任何诉求，且竞标人应自行承担由此造成的一切后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lang w:val="en-US" w:eastAsia="zh-CN"/>
        </w:rPr>
        <w:t>8</w:t>
      </w:r>
      <w:r>
        <w:rPr>
          <w:rFonts w:hint="eastAsia" w:ascii="仿宋_GB2312" w:eastAsia="仿宋_GB2312" w:hAnsiTheme="minorEastAsia"/>
          <w:szCs w:val="21"/>
        </w:rPr>
        <w:t>）公共资源管理部门联系电话（政策咨询、答疑及投诉等）：968383。</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szCs w:val="21"/>
        </w:rPr>
      </w:pPr>
      <w:r>
        <w:rPr>
          <w:rFonts w:hint="eastAsia" w:ascii="仿宋_GB2312" w:eastAsia="仿宋_GB2312" w:hAnsiTheme="minorEastAsia"/>
          <w:b/>
          <w:szCs w:val="21"/>
        </w:rPr>
        <w:t>十、甲方的提示和说明</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1</w:t>
      </w:r>
      <w:r>
        <w:rPr>
          <w:rFonts w:hint="eastAsia" w:ascii="仿宋_GB2312" w:eastAsia="仿宋_GB2312" w:hAnsiTheme="minorEastAsia"/>
          <w:szCs w:val="21"/>
        </w:rPr>
        <w:t>、租金收取方式：自第二个计租年度起，租金在实际中标价的基础上逐年递增5%。</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不得从事废品回收行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3</w:t>
      </w:r>
      <w:r>
        <w:rPr>
          <w:rFonts w:hint="eastAsia" w:ascii="仿宋_GB2312" w:eastAsia="仿宋_GB2312" w:hAnsiTheme="minor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4</w:t>
      </w:r>
      <w:r>
        <w:rPr>
          <w:rFonts w:hint="eastAsia" w:ascii="仿宋_GB2312" w:eastAsia="仿宋_GB2312" w:hAnsiTheme="minor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5</w:t>
      </w:r>
      <w:r>
        <w:rPr>
          <w:rFonts w:hint="eastAsia" w:ascii="仿宋_GB2312" w:eastAsia="仿宋_GB2312" w:hAnsiTheme="minorEastAsia"/>
          <w:szCs w:val="21"/>
        </w:rPr>
        <w:t>、甲方提示乙方，乙方应对竞价会当中自己的应价行为负责，一经应价即为有效，不得以任何理由(包括但不仅限于其他竞价人的应价是否合理等)对抗自己应价的法律效果。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6</w:t>
      </w:r>
      <w:r>
        <w:rPr>
          <w:rFonts w:hint="eastAsia" w:ascii="仿宋_GB2312" w:eastAsia="仿宋_GB2312" w:hAnsiTheme="minor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十一、乙方的陈述和保证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1)乙方竞价成功并成为拟竞价标的最终中标人，但被有权机构拒绝办理前述标的的移交手续的；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2)被取消竞价人或最终中标人资格，或最终中标人资格不被确认或确认后被撤消的；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3)代理人有权不予返还竞价保证金或履约保证金；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4)竞价保证金外的已付款项，代理人有权要求用于赔偿各种损失(包括因乙方背信违约，导致债务迟延而增加的债务金额，以及前述标的竞价的各项运作费用等)；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5)代理人或其它相关方有权取消乙方最终中标人资格，前述标的重新交付竞价，代理人或其它有权机关还有权要求赔偿两次竞价之间的差价；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6)因诉诸法律而发生的所有费用；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7)因背信违约，竞价委托人、资产所有人、代理人主张的其它权利导致的责任；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8、竞价成交后乙方与甲方签订的《成交结果确认书》与本《竞价协议书》具有同等法律效力。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9、若该标的被委托人依法撤销竞价或有关权利部门执行回转，乙方应无条件服从和积极配合。</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十二、违约责任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1、在竞价成交后，乙方未按本协议约定签署《成交结果确认书》及《房屋租赁合同》的视为违约，竞价保证金不予退还。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3、如果乙方未按照第六条的规定支付竞价佣金的，乙方违约。每迟延一日付款，乙方应向甲方支付应付款项的千分之三作为滞纳金。在竞价佣金全部付清前，不退还留存甲方的履约保证金。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szCs w:val="21"/>
        </w:rPr>
      </w:pPr>
      <w:r>
        <w:rPr>
          <w:rFonts w:hint="eastAsia" w:ascii="仿宋_GB2312" w:eastAsia="仿宋_GB2312" w:hAnsiTheme="minorEastAsia"/>
          <w:b/>
          <w:szCs w:val="21"/>
        </w:rPr>
        <w:t>十三、保密责任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甲乙双方应对在竞价程序中知悉的对方商业秘密予以保密。</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十四、撤回拍卖标的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b/>
          <w:szCs w:val="21"/>
        </w:rPr>
      </w:pPr>
      <w:r>
        <w:rPr>
          <w:rFonts w:hint="eastAsia" w:ascii="仿宋_GB2312" w:eastAsia="仿宋_GB2312" w:hAnsiTheme="minorEastAsia"/>
          <w:szCs w:val="21"/>
        </w:rPr>
        <w:t>《中华人民共和国拍卖法》第二十九条规定“委托人可以在拍卖开始前撤回拍卖标的”。甲方仅是拍卖代理机构，如竞价前委托人撤回拍卖标的的，甲、乙双方均应无条件服从，互不承担违约责任。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十五、法律适用与争议解决</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本合同的签订、成立、效力、解释、履行等事宜均适用中国法律。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因本合同及本次竞价活动引起或与本合同及本次竞价活动有关的一切争议，双方均应友好协商解决；如不能解决的，任何一方均应向甲方住所地有管辖权的人民法院提起诉讼。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如果本合同的某条款被宣布为无效，应不影响本合同任何其他条款的效力。</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十六、合同的生效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本合同经甲、乙双方签章起生效。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本合同一式贰份，甲方、乙方各执壹份，具有同等法律效力。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房屋租赁合同样稿（商业)》、《竞价清单》、《商户信用管理办法(试行)》作为本协议的附件是本协议不可分割的一部分，与本合同具有同等效力。《房屋租赁合同样稿（商业)》、《竞价清单》、《商户信用管理办法(试行)》及相关书面文件是甲方与乙方之间权利义务的重要内容，为本协议的重要组成部分，本协议未尽事宜应按该《房屋租赁合同样稿（商业)》、《竞价清单》、《商户信用管理办法(试行)》执行。如有未尽事宜，双方可以签订补充协议。</w:t>
      </w:r>
    </w:p>
    <w:p>
      <w:pPr>
        <w:autoSpaceDE w:val="0"/>
        <w:autoSpaceDN w:val="0"/>
        <w:adjustRightInd w:val="0"/>
        <w:snapToGrid w:val="0"/>
        <w:spacing w:line="400" w:lineRule="exact"/>
        <w:ind w:firstLine="422" w:firstLineChars="200"/>
        <w:rPr>
          <w:rFonts w:hint="eastAsia" w:ascii="仿宋_GB2312" w:eastAsia="仿宋_GB2312" w:hAnsiTheme="minorEastAsia"/>
          <w:b/>
          <w:szCs w:val="21"/>
        </w:rPr>
      </w:pPr>
      <w:bookmarkStart w:id="1" w:name="_GoBack"/>
      <w:bookmarkEnd w:id="1"/>
      <w:r>
        <w:rPr>
          <w:rFonts w:hint="eastAsia" w:ascii="仿宋_GB2312" w:eastAsia="仿宋_GB2312" w:hAnsiTheme="minorEastAsia"/>
          <w:b/>
          <w:szCs w:val="21"/>
        </w:rPr>
        <w:t>附件</w:t>
      </w:r>
      <w:r>
        <w:rPr>
          <w:rFonts w:hint="eastAsia" w:ascii="仿宋_GB2312" w:eastAsia="仿宋_GB2312" w:hAnsiTheme="minorEastAsia"/>
          <w:b/>
          <w:szCs w:val="21"/>
          <w:lang w:val="en-US" w:eastAsia="zh-CN"/>
        </w:rPr>
        <w:t>1</w:t>
      </w:r>
      <w:r>
        <w:rPr>
          <w:rFonts w:hint="eastAsia" w:ascii="仿宋_GB2312" w:eastAsia="仿宋_GB2312" w:hAnsiTheme="minorEastAsia"/>
          <w:b/>
          <w:szCs w:val="21"/>
        </w:rPr>
        <w:t>《竞价清单》</w:t>
      </w:r>
    </w:p>
    <w:p>
      <w:pPr>
        <w:autoSpaceDE w:val="0"/>
        <w:autoSpaceDN w:val="0"/>
        <w:adjustRightInd w:val="0"/>
        <w:snapToGrid w:val="0"/>
        <w:spacing w:line="400" w:lineRule="exact"/>
        <w:ind w:firstLine="422" w:firstLineChars="200"/>
        <w:rPr>
          <w:rFonts w:ascii="仿宋_GB2312" w:eastAsia="仿宋_GB2312" w:hAnsiTheme="minorEastAsia"/>
          <w:b/>
          <w:szCs w:val="21"/>
        </w:rPr>
      </w:pPr>
      <w:r>
        <w:rPr>
          <w:rFonts w:hint="eastAsia" w:ascii="仿宋_GB2312" w:eastAsia="仿宋_GB2312" w:hAnsiTheme="minorEastAsia"/>
          <w:b/>
          <w:szCs w:val="21"/>
        </w:rPr>
        <w:t>附件</w:t>
      </w:r>
      <w:r>
        <w:rPr>
          <w:rFonts w:hint="eastAsia" w:ascii="仿宋_GB2312" w:eastAsia="仿宋_GB2312" w:hAnsiTheme="minorEastAsia"/>
          <w:b/>
          <w:szCs w:val="21"/>
          <w:lang w:val="en-US" w:eastAsia="zh-CN"/>
        </w:rPr>
        <w:t>2</w:t>
      </w:r>
      <w:r>
        <w:rPr>
          <w:rFonts w:hint="eastAsia" w:ascii="仿宋_GB2312" w:eastAsia="仿宋_GB2312" w:hAnsiTheme="minorEastAsia"/>
          <w:b/>
          <w:szCs w:val="21"/>
        </w:rPr>
        <w:t>《房屋租赁合同样稿（商业)》</w:t>
      </w:r>
    </w:p>
    <w:p>
      <w:pPr>
        <w:autoSpaceDE w:val="0"/>
        <w:autoSpaceDN w:val="0"/>
        <w:adjustRightInd w:val="0"/>
        <w:snapToGrid w:val="0"/>
        <w:spacing w:line="400" w:lineRule="exact"/>
        <w:ind w:firstLine="422" w:firstLineChars="200"/>
        <w:rPr>
          <w:rFonts w:ascii="仿宋_GB2312" w:eastAsia="仿宋_GB2312" w:hAnsiTheme="minorEastAsia"/>
          <w:b/>
          <w:szCs w:val="21"/>
        </w:rPr>
      </w:pPr>
      <w:r>
        <w:rPr>
          <w:rFonts w:hint="eastAsia" w:ascii="仿宋_GB2312" w:eastAsia="仿宋_GB2312" w:hAnsiTheme="minorEastAsia"/>
          <w:b/>
          <w:szCs w:val="21"/>
        </w:rPr>
        <w:t>附件3《商户信用管理办法(试行)》</w:t>
      </w:r>
    </w:p>
    <w:p>
      <w:pPr>
        <w:autoSpaceDE w:val="0"/>
        <w:autoSpaceDN w:val="0"/>
        <w:adjustRightInd w:val="0"/>
        <w:snapToGrid w:val="0"/>
        <w:spacing w:line="360" w:lineRule="exact"/>
        <w:rPr>
          <w:rFonts w:ascii="仿宋_GB2312" w:eastAsia="仿宋_GB2312" w:hAnsiTheme="minorEastAsia"/>
          <w:b/>
          <w:szCs w:val="21"/>
        </w:rPr>
      </w:pPr>
    </w:p>
    <w:p>
      <w:pPr>
        <w:autoSpaceDE w:val="0"/>
        <w:autoSpaceDN w:val="0"/>
        <w:adjustRightInd w:val="0"/>
        <w:snapToGrid w:val="0"/>
        <w:spacing w:line="320" w:lineRule="exact"/>
        <w:ind w:firstLine="422" w:firstLineChars="200"/>
        <w:jc w:val="left"/>
        <w:rPr>
          <w:rFonts w:ascii="仿宋_GB2312" w:eastAsia="仿宋_GB2312"/>
          <w:b/>
          <w:szCs w:val="21"/>
        </w:rPr>
      </w:pPr>
      <w:r>
        <w:rPr>
          <w:rFonts w:hint="eastAsia" w:ascii="仿宋_GB2312" w:eastAsia="仿宋_GB2312"/>
          <w:b/>
          <w:szCs w:val="21"/>
        </w:rPr>
        <w:t>代理人(甲方)：福建省</w:t>
      </w:r>
      <w:r>
        <w:rPr>
          <w:rFonts w:hint="eastAsia" w:ascii="仿宋_GB2312" w:eastAsia="仿宋_GB2312"/>
          <w:b/>
          <w:szCs w:val="21"/>
          <w:lang w:val="en-US" w:eastAsia="zh-CN"/>
        </w:rPr>
        <w:t>鹏翰</w:t>
      </w:r>
      <w:r>
        <w:rPr>
          <w:rFonts w:hint="eastAsia" w:ascii="仿宋_GB2312" w:eastAsia="仿宋_GB2312"/>
          <w:b/>
          <w:szCs w:val="21"/>
        </w:rPr>
        <w:t xml:space="preserve">拍卖有限公司      </w:t>
      </w:r>
      <w:r>
        <w:rPr>
          <w:rFonts w:hint="eastAsia" w:ascii="仿宋_GB2312" w:eastAsia="仿宋_GB2312"/>
          <w:b/>
          <w:szCs w:val="21"/>
          <w:lang w:val="en-US" w:eastAsia="zh-CN"/>
        </w:rPr>
        <w:t xml:space="preserve">       </w:t>
      </w:r>
      <w:r>
        <w:rPr>
          <w:rFonts w:hint="eastAsia" w:ascii="仿宋_GB2312" w:eastAsia="仿宋_GB2312"/>
          <w:b/>
          <w:szCs w:val="21"/>
        </w:rPr>
        <w:t>竞价人(乙方)：</w:t>
      </w:r>
    </w:p>
    <w:p>
      <w:pPr>
        <w:autoSpaceDE w:val="0"/>
        <w:autoSpaceDN w:val="0"/>
        <w:adjustRightInd w:val="0"/>
        <w:snapToGrid w:val="0"/>
        <w:spacing w:line="320" w:lineRule="exact"/>
        <w:ind w:firstLine="422" w:firstLineChars="200"/>
        <w:jc w:val="left"/>
        <w:rPr>
          <w:rFonts w:ascii="仿宋_GB2312" w:eastAsia="仿宋_GB2312"/>
          <w:b/>
          <w:szCs w:val="21"/>
        </w:rPr>
      </w:pPr>
    </w:p>
    <w:p>
      <w:pPr>
        <w:autoSpaceDE w:val="0"/>
        <w:autoSpaceDN w:val="0"/>
        <w:adjustRightInd w:val="0"/>
        <w:snapToGrid w:val="0"/>
        <w:spacing w:line="320" w:lineRule="exact"/>
        <w:ind w:firstLine="4006" w:firstLineChars="1900"/>
        <w:jc w:val="left"/>
        <w:rPr>
          <w:rFonts w:ascii="仿宋_GB2312" w:eastAsia="仿宋_GB2312"/>
          <w:b/>
          <w:szCs w:val="21"/>
        </w:rPr>
      </w:pPr>
      <w:r>
        <w:rPr>
          <w:rFonts w:hint="eastAsia" w:ascii="仿宋_GB2312" w:eastAsia="仿宋_GB2312"/>
          <w:b/>
          <w:szCs w:val="21"/>
        </w:rPr>
        <w:t>　　　　　</w:t>
      </w:r>
      <w:r>
        <w:rPr>
          <w:rFonts w:hint="eastAsia" w:ascii="仿宋_GB2312" w:eastAsia="仿宋_GB2312"/>
          <w:b/>
          <w:szCs w:val="21"/>
          <w:lang w:val="en-US" w:eastAsia="zh-CN"/>
        </w:rPr>
        <w:t xml:space="preserve">      </w:t>
      </w:r>
      <w:r>
        <w:rPr>
          <w:rFonts w:hint="eastAsia" w:ascii="仿宋_GB2312" w:eastAsia="仿宋_GB2312"/>
          <w:b/>
          <w:szCs w:val="21"/>
        </w:rPr>
        <w:t xml:space="preserve">受 </w:t>
      </w:r>
      <w:r>
        <w:rPr>
          <w:rFonts w:ascii="仿宋_GB2312" w:eastAsia="仿宋_GB2312"/>
          <w:b/>
          <w:szCs w:val="21"/>
        </w:rPr>
        <w:t xml:space="preserve">  </w:t>
      </w:r>
      <w:r>
        <w:rPr>
          <w:rFonts w:hint="eastAsia" w:ascii="仿宋_GB2312" w:eastAsia="仿宋_GB2312"/>
          <w:b/>
          <w:szCs w:val="21"/>
        </w:rPr>
        <w:t xml:space="preserve">托  </w:t>
      </w:r>
      <w:r>
        <w:rPr>
          <w:rFonts w:ascii="仿宋_GB2312" w:eastAsia="仿宋_GB2312"/>
          <w:b/>
          <w:szCs w:val="21"/>
        </w:rPr>
        <w:t xml:space="preserve"> </w:t>
      </w:r>
      <w:r>
        <w:rPr>
          <w:rFonts w:hint="eastAsia" w:ascii="仿宋_GB2312" w:eastAsia="仿宋_GB2312"/>
          <w:b/>
          <w:szCs w:val="21"/>
        </w:rPr>
        <w:t>人：</w:t>
      </w:r>
    </w:p>
    <w:p>
      <w:pPr>
        <w:autoSpaceDE w:val="0"/>
        <w:autoSpaceDN w:val="0"/>
        <w:adjustRightInd w:val="0"/>
        <w:snapToGrid w:val="0"/>
        <w:spacing w:line="320" w:lineRule="exact"/>
        <w:ind w:firstLine="4006" w:firstLineChars="1900"/>
        <w:jc w:val="left"/>
        <w:rPr>
          <w:rFonts w:ascii="仿宋_GB2312" w:eastAsia="仿宋_GB2312"/>
          <w:b/>
          <w:szCs w:val="21"/>
        </w:rPr>
      </w:pPr>
    </w:p>
    <w:p>
      <w:pPr>
        <w:autoSpaceDE w:val="0"/>
        <w:autoSpaceDN w:val="0"/>
        <w:adjustRightInd w:val="0"/>
        <w:snapToGrid w:val="0"/>
        <w:spacing w:line="320" w:lineRule="exact"/>
        <w:ind w:firstLine="413" w:firstLineChars="196"/>
        <w:jc w:val="left"/>
        <w:rPr>
          <w:rFonts w:hint="eastAsia" w:ascii="仿宋_GB2312" w:eastAsia="仿宋_GB2312"/>
          <w:b/>
          <w:szCs w:val="21"/>
        </w:rPr>
      </w:pPr>
      <w:r>
        <w:rPr>
          <w:rFonts w:hint="eastAsia" w:ascii="仿宋_GB2312" w:eastAsia="仿宋_GB2312"/>
          <w:b/>
          <w:szCs w:val="21"/>
        </w:rPr>
        <w:t xml:space="preserve">二Ο二二年  月 </w:t>
      </w:r>
      <w:r>
        <w:rPr>
          <w:rFonts w:hint="eastAsia" w:ascii="仿宋_GB2312" w:eastAsia="仿宋_GB2312"/>
          <w:b/>
          <w:szCs w:val="21"/>
          <w:lang w:val="en-US" w:eastAsia="zh-CN"/>
        </w:rPr>
        <w:t xml:space="preserve"> </w:t>
      </w:r>
      <w:r>
        <w:rPr>
          <w:rFonts w:hint="eastAsia" w:ascii="仿宋_GB2312" w:eastAsia="仿宋_GB2312"/>
          <w:b/>
          <w:szCs w:val="21"/>
        </w:rPr>
        <w:t xml:space="preserve"> 日                        </w:t>
      </w:r>
      <w:r>
        <w:rPr>
          <w:rFonts w:hint="eastAsia" w:ascii="仿宋_GB2312" w:eastAsia="仿宋_GB2312"/>
          <w:b/>
          <w:szCs w:val="21"/>
          <w:lang w:val="en-US" w:eastAsia="zh-CN"/>
        </w:rPr>
        <w:t xml:space="preserve">       </w:t>
      </w:r>
      <w:r>
        <w:rPr>
          <w:rFonts w:hint="eastAsia" w:ascii="仿宋_GB2312" w:eastAsia="仿宋_GB2312"/>
          <w:b/>
          <w:szCs w:val="21"/>
        </w:rPr>
        <w:t>二Ο二二年</w:t>
      </w:r>
      <w:r>
        <w:rPr>
          <w:rFonts w:hint="eastAsia" w:ascii="仿宋_GB2312" w:eastAsia="仿宋_GB2312"/>
          <w:b/>
          <w:szCs w:val="21"/>
          <w:lang w:val="en-US" w:eastAsia="zh-CN"/>
        </w:rPr>
        <w:t xml:space="preserve">    </w:t>
      </w:r>
      <w:r>
        <w:rPr>
          <w:rFonts w:hint="eastAsia" w:ascii="仿宋_GB2312" w:eastAsia="仿宋_GB2312"/>
          <w:b/>
          <w:szCs w:val="21"/>
        </w:rPr>
        <w:t>月   日</w:t>
      </w:r>
    </w:p>
    <w:p>
      <w:pPr>
        <w:pStyle w:val="2"/>
        <w:rPr>
          <w:rFonts w:hint="eastAsia" w:ascii="仿宋_GB2312" w:eastAsia="仿宋_GB2312"/>
          <w:b/>
          <w:szCs w:val="21"/>
        </w:rPr>
      </w:pPr>
    </w:p>
    <w:p>
      <w:pPr>
        <w:pStyle w:val="2"/>
        <w:rPr>
          <w:rFonts w:hint="eastAsia" w:ascii="仿宋_GB2312" w:eastAsia="仿宋_GB2312"/>
          <w:b/>
          <w:szCs w:val="21"/>
        </w:rPr>
      </w:pPr>
    </w:p>
    <w:p>
      <w:pPr>
        <w:pStyle w:val="2"/>
        <w:rPr>
          <w:rFonts w:hint="eastAsia" w:ascii="仿宋_GB2312" w:eastAsia="仿宋_GB2312"/>
          <w:b/>
          <w:szCs w:val="21"/>
        </w:rPr>
      </w:pPr>
    </w:p>
    <w:p>
      <w:pPr>
        <w:pStyle w:val="2"/>
        <w:rPr>
          <w:rFonts w:hint="eastAsia" w:ascii="仿宋_GB2312" w:eastAsia="仿宋_GB2312"/>
          <w:b/>
          <w:szCs w:val="21"/>
        </w:rPr>
      </w:pPr>
    </w:p>
    <w:p>
      <w:pPr>
        <w:pStyle w:val="2"/>
        <w:rPr>
          <w:rFonts w:hint="eastAsia" w:ascii="仿宋_GB2312" w:eastAsia="仿宋_GB2312"/>
          <w:b/>
          <w:szCs w:val="21"/>
        </w:rPr>
      </w:pPr>
    </w:p>
    <w:p>
      <w:pPr>
        <w:pStyle w:val="2"/>
        <w:jc w:val="both"/>
        <w:rPr>
          <w:rFonts w:hint="eastAsia" w:ascii="仿宋_GB2312" w:eastAsia="仿宋_GB2312"/>
          <w:b/>
          <w:szCs w:val="21"/>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zk1NGRjY2JmYmM5YjE3NDY2Njc1OGYxZGIzNGYifQ=="/>
  </w:docVars>
  <w:rsids>
    <w:rsidRoot w:val="00131DE6"/>
    <w:rsid w:val="00021591"/>
    <w:rsid w:val="0002400C"/>
    <w:rsid w:val="0003455A"/>
    <w:rsid w:val="00051EF7"/>
    <w:rsid w:val="00071E41"/>
    <w:rsid w:val="000748E0"/>
    <w:rsid w:val="00084985"/>
    <w:rsid w:val="00084B9B"/>
    <w:rsid w:val="00090A4B"/>
    <w:rsid w:val="000A0A35"/>
    <w:rsid w:val="000A0B54"/>
    <w:rsid w:val="000A334E"/>
    <w:rsid w:val="000A4A55"/>
    <w:rsid w:val="000A7D5C"/>
    <w:rsid w:val="000C2830"/>
    <w:rsid w:val="000D5119"/>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146"/>
    <w:rsid w:val="00353BA6"/>
    <w:rsid w:val="0035457F"/>
    <w:rsid w:val="0036633F"/>
    <w:rsid w:val="00373098"/>
    <w:rsid w:val="00376BEF"/>
    <w:rsid w:val="003C754A"/>
    <w:rsid w:val="003D0EE7"/>
    <w:rsid w:val="003E4656"/>
    <w:rsid w:val="003E4868"/>
    <w:rsid w:val="003E7193"/>
    <w:rsid w:val="003F40C2"/>
    <w:rsid w:val="003F4E1C"/>
    <w:rsid w:val="00403DF7"/>
    <w:rsid w:val="004105D8"/>
    <w:rsid w:val="00413150"/>
    <w:rsid w:val="00413C14"/>
    <w:rsid w:val="00427645"/>
    <w:rsid w:val="00442EA1"/>
    <w:rsid w:val="00482EE2"/>
    <w:rsid w:val="00483224"/>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449D"/>
    <w:rsid w:val="00587A31"/>
    <w:rsid w:val="005A01A4"/>
    <w:rsid w:val="005B5677"/>
    <w:rsid w:val="005C510C"/>
    <w:rsid w:val="005E1F70"/>
    <w:rsid w:val="005F0E55"/>
    <w:rsid w:val="006033A7"/>
    <w:rsid w:val="00604751"/>
    <w:rsid w:val="006056AF"/>
    <w:rsid w:val="00621D9A"/>
    <w:rsid w:val="0062317E"/>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21BB"/>
    <w:rsid w:val="007670F7"/>
    <w:rsid w:val="00770E8C"/>
    <w:rsid w:val="0078652F"/>
    <w:rsid w:val="00793990"/>
    <w:rsid w:val="007A34DB"/>
    <w:rsid w:val="007B448F"/>
    <w:rsid w:val="007B7374"/>
    <w:rsid w:val="00804BDE"/>
    <w:rsid w:val="008070BF"/>
    <w:rsid w:val="00812E1A"/>
    <w:rsid w:val="00827CF3"/>
    <w:rsid w:val="008357C6"/>
    <w:rsid w:val="00843F8B"/>
    <w:rsid w:val="00852967"/>
    <w:rsid w:val="00860BC0"/>
    <w:rsid w:val="00863576"/>
    <w:rsid w:val="00872A4C"/>
    <w:rsid w:val="008732C9"/>
    <w:rsid w:val="00882FA7"/>
    <w:rsid w:val="008A5226"/>
    <w:rsid w:val="008C2CBC"/>
    <w:rsid w:val="008D033A"/>
    <w:rsid w:val="008D215A"/>
    <w:rsid w:val="008D48BC"/>
    <w:rsid w:val="008F455B"/>
    <w:rsid w:val="008F7468"/>
    <w:rsid w:val="009053AC"/>
    <w:rsid w:val="0090653A"/>
    <w:rsid w:val="00914F80"/>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66C05"/>
    <w:rsid w:val="00A763DC"/>
    <w:rsid w:val="00A91D74"/>
    <w:rsid w:val="00A94F91"/>
    <w:rsid w:val="00AB0970"/>
    <w:rsid w:val="00AB6656"/>
    <w:rsid w:val="00AC5085"/>
    <w:rsid w:val="00AD09D5"/>
    <w:rsid w:val="00AD2A08"/>
    <w:rsid w:val="00AD77E7"/>
    <w:rsid w:val="00AE4C74"/>
    <w:rsid w:val="00AF34C2"/>
    <w:rsid w:val="00AF6C18"/>
    <w:rsid w:val="00AF6EF8"/>
    <w:rsid w:val="00B0199C"/>
    <w:rsid w:val="00B05075"/>
    <w:rsid w:val="00B06CFB"/>
    <w:rsid w:val="00B12B97"/>
    <w:rsid w:val="00B31C0A"/>
    <w:rsid w:val="00B3374E"/>
    <w:rsid w:val="00B417C5"/>
    <w:rsid w:val="00B46CC0"/>
    <w:rsid w:val="00B51F96"/>
    <w:rsid w:val="00B71A29"/>
    <w:rsid w:val="00B94DAE"/>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E2478"/>
    <w:rsid w:val="00CF063C"/>
    <w:rsid w:val="00CF0809"/>
    <w:rsid w:val="00CF240C"/>
    <w:rsid w:val="00D01090"/>
    <w:rsid w:val="00D118D7"/>
    <w:rsid w:val="00D327B8"/>
    <w:rsid w:val="00D47380"/>
    <w:rsid w:val="00D533E2"/>
    <w:rsid w:val="00D5623A"/>
    <w:rsid w:val="00D63522"/>
    <w:rsid w:val="00D968AB"/>
    <w:rsid w:val="00DA2AC9"/>
    <w:rsid w:val="00DA49CE"/>
    <w:rsid w:val="00DB6982"/>
    <w:rsid w:val="00DC0C21"/>
    <w:rsid w:val="00DC4A47"/>
    <w:rsid w:val="00DE6EAE"/>
    <w:rsid w:val="00DF1722"/>
    <w:rsid w:val="00DF5577"/>
    <w:rsid w:val="00DF6B67"/>
    <w:rsid w:val="00E02F8E"/>
    <w:rsid w:val="00E24039"/>
    <w:rsid w:val="00E25B5B"/>
    <w:rsid w:val="00E26F19"/>
    <w:rsid w:val="00E356C3"/>
    <w:rsid w:val="00E36573"/>
    <w:rsid w:val="00E5038D"/>
    <w:rsid w:val="00E50D94"/>
    <w:rsid w:val="00E53DC7"/>
    <w:rsid w:val="00E67FFC"/>
    <w:rsid w:val="00E730C3"/>
    <w:rsid w:val="00E85934"/>
    <w:rsid w:val="00E921C5"/>
    <w:rsid w:val="00E971E2"/>
    <w:rsid w:val="00EA3746"/>
    <w:rsid w:val="00EB1CBA"/>
    <w:rsid w:val="00EC098B"/>
    <w:rsid w:val="00EC17E2"/>
    <w:rsid w:val="00EC7952"/>
    <w:rsid w:val="00EE0F8F"/>
    <w:rsid w:val="00EE6227"/>
    <w:rsid w:val="00EF29BE"/>
    <w:rsid w:val="00F10D0C"/>
    <w:rsid w:val="00F116F6"/>
    <w:rsid w:val="00F129B4"/>
    <w:rsid w:val="00F374B0"/>
    <w:rsid w:val="00F452FD"/>
    <w:rsid w:val="00F47C52"/>
    <w:rsid w:val="00F80728"/>
    <w:rsid w:val="00F970E2"/>
    <w:rsid w:val="00FB0F02"/>
    <w:rsid w:val="00FC2DE7"/>
    <w:rsid w:val="00FC5D39"/>
    <w:rsid w:val="00FE421A"/>
    <w:rsid w:val="00FF01B2"/>
    <w:rsid w:val="026D2309"/>
    <w:rsid w:val="052D411E"/>
    <w:rsid w:val="05D54A74"/>
    <w:rsid w:val="09F22096"/>
    <w:rsid w:val="0B0F2EE3"/>
    <w:rsid w:val="15332336"/>
    <w:rsid w:val="15D879DF"/>
    <w:rsid w:val="17FA78A6"/>
    <w:rsid w:val="18F30E46"/>
    <w:rsid w:val="1ADE60DC"/>
    <w:rsid w:val="21DB41C0"/>
    <w:rsid w:val="22D93859"/>
    <w:rsid w:val="28F3473F"/>
    <w:rsid w:val="32086C97"/>
    <w:rsid w:val="3437322F"/>
    <w:rsid w:val="37B4046C"/>
    <w:rsid w:val="39F65EBF"/>
    <w:rsid w:val="3BE04B9F"/>
    <w:rsid w:val="3DF32768"/>
    <w:rsid w:val="42514A7C"/>
    <w:rsid w:val="42EA22B7"/>
    <w:rsid w:val="4BE61B20"/>
    <w:rsid w:val="5269140A"/>
    <w:rsid w:val="562740C3"/>
    <w:rsid w:val="59BD16A1"/>
    <w:rsid w:val="5A12478A"/>
    <w:rsid w:val="5AAB3326"/>
    <w:rsid w:val="5E8E7E3F"/>
    <w:rsid w:val="5F10238F"/>
    <w:rsid w:val="62257BF1"/>
    <w:rsid w:val="65121092"/>
    <w:rsid w:val="6D811064"/>
    <w:rsid w:val="712330CE"/>
    <w:rsid w:val="756A56C2"/>
    <w:rsid w:val="771E2ABE"/>
    <w:rsid w:val="7A016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5D23-8786-4505-8E80-A350DB2F71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9272</Words>
  <Characters>9464</Characters>
  <Lines>72</Lines>
  <Paragraphs>20</Paragraphs>
  <TotalTime>0</TotalTime>
  <ScaleCrop>false</ScaleCrop>
  <LinksUpToDate>false</LinksUpToDate>
  <CharactersWithSpaces>9659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2019-03-18T14:48:00Z</dcterms:created>
  <dc:creator>NTKO</dc:creator>
  <cp:lastModifiedBy>Administrator</cp:lastModifiedBy>
  <cp:lastPrinted>2021-04-26T09:15:00Z</cp:lastPrinted>
  <dcterms:modified xsi:type="dcterms:W3CDTF">2022-11-11T04:34:20Z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ED7114D07CA44E49867B8CA6BC8967EA</vt:lpwstr>
  </property>
</Properties>
</file>