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720" w:lineRule="auto"/>
        <w:jc w:val="left"/>
        <w:rPr>
          <w:rFonts w:ascii="宋体" w:hAnsi="宋体"/>
          <w:b/>
          <w:color w:val="000000"/>
          <w:sz w:val="28"/>
          <w:szCs w:val="28"/>
        </w:rPr>
      </w:pPr>
    </w:p>
    <w:p>
      <w:pPr>
        <w:autoSpaceDE w:val="0"/>
        <w:autoSpaceDN w:val="0"/>
        <w:spacing w:line="720" w:lineRule="auto"/>
        <w:jc w:val="center"/>
        <w:rPr>
          <w:rFonts w:ascii="宋体" w:hAnsi="宋体"/>
          <w:b/>
          <w:color w:val="000000"/>
          <w:sz w:val="44"/>
          <w:szCs w:val="44"/>
        </w:rPr>
      </w:pPr>
      <w:r>
        <w:rPr>
          <w:rFonts w:hint="eastAsia" w:ascii="宋体" w:hAnsi="宋体"/>
          <w:b/>
          <w:color w:val="000000"/>
          <w:sz w:val="44"/>
          <w:szCs w:val="44"/>
        </w:rPr>
        <w:t>网络竞价协议</w:t>
      </w:r>
    </w:p>
    <w:p>
      <w:pPr>
        <w:autoSpaceDE w:val="0"/>
        <w:autoSpaceDN w:val="0"/>
        <w:spacing w:line="480" w:lineRule="auto"/>
        <w:jc w:val="left"/>
        <w:rPr>
          <w:rFonts w:ascii="宋体" w:hAnsi="宋体"/>
          <w:b/>
          <w:color w:val="000000"/>
          <w:sz w:val="24"/>
          <w:szCs w:val="24"/>
        </w:rPr>
      </w:pPr>
      <w:r>
        <w:rPr>
          <w:rFonts w:hint="eastAsia" w:ascii="宋体" w:hAnsi="宋体"/>
          <w:b/>
          <w:color w:val="000000"/>
          <w:sz w:val="24"/>
          <w:szCs w:val="24"/>
        </w:rPr>
        <w:t>代理人（简称“甲方”）：福建省</w:t>
      </w:r>
      <w:r>
        <w:rPr>
          <w:rFonts w:hint="eastAsia" w:ascii="宋体" w:hAnsi="宋体"/>
          <w:b/>
          <w:color w:val="000000"/>
          <w:sz w:val="24"/>
          <w:szCs w:val="24"/>
          <w:lang w:val="en-US" w:eastAsia="zh-CN"/>
        </w:rPr>
        <w:t>鹏翰</w:t>
      </w:r>
      <w:r>
        <w:rPr>
          <w:rFonts w:hint="eastAsia" w:ascii="宋体" w:hAnsi="宋体"/>
          <w:b/>
          <w:color w:val="000000"/>
          <w:sz w:val="24"/>
          <w:szCs w:val="24"/>
        </w:rPr>
        <w:t>拍卖有限公司</w:t>
      </w:r>
    </w:p>
    <w:p>
      <w:pPr>
        <w:autoSpaceDE w:val="0"/>
        <w:autoSpaceDN w:val="0"/>
        <w:spacing w:line="480" w:lineRule="auto"/>
        <w:jc w:val="left"/>
        <w:rPr>
          <w:rFonts w:ascii="宋体" w:hAnsi="宋体"/>
          <w:b/>
          <w:color w:val="000000"/>
          <w:sz w:val="24"/>
          <w:szCs w:val="24"/>
          <w:u w:val="single"/>
        </w:rPr>
      </w:pPr>
      <w:r>
        <w:rPr>
          <w:rFonts w:hint="eastAsia" w:ascii="宋体" w:hAnsi="宋体"/>
          <w:b/>
          <w:color w:val="000000"/>
          <w:sz w:val="24"/>
          <w:szCs w:val="24"/>
        </w:rPr>
        <w:t>竞价人（简称“乙方”）：</w:t>
      </w:r>
      <w:r>
        <w:rPr>
          <w:rFonts w:ascii="宋体" w:hAnsi="宋体"/>
          <w:b/>
          <w:color w:val="000000"/>
          <w:sz w:val="24"/>
          <w:szCs w:val="24"/>
          <w:u w:val="single"/>
        </w:rPr>
        <w:t xml:space="preserve">                </w:t>
      </w:r>
      <w:r>
        <w:rPr>
          <w:rFonts w:hint="eastAsia" w:ascii="宋体" w:hAnsi="宋体"/>
          <w:b/>
          <w:color w:val="000000"/>
          <w:sz w:val="24"/>
          <w:szCs w:val="24"/>
          <w:u w:val="single"/>
        </w:rPr>
        <w:t xml:space="preserve">  </w:t>
      </w:r>
      <w:r>
        <w:rPr>
          <w:rFonts w:ascii="宋体" w:hAnsi="宋体"/>
          <w:b/>
          <w:color w:val="000000"/>
          <w:sz w:val="24"/>
          <w:szCs w:val="24"/>
          <w:u w:val="single"/>
        </w:rPr>
        <w:t xml:space="preserve">       </w:t>
      </w:r>
      <w:r>
        <w:rPr>
          <w:rFonts w:ascii="宋体" w:hAnsi="宋体"/>
          <w:b/>
          <w:color w:val="000000"/>
          <w:sz w:val="24"/>
          <w:szCs w:val="24"/>
        </w:rPr>
        <w:t xml:space="preserve">  </w:t>
      </w:r>
      <w:r>
        <w:rPr>
          <w:rFonts w:hint="eastAsia" w:ascii="宋体" w:hAnsi="宋体"/>
          <w:b/>
          <w:color w:val="000000"/>
          <w:sz w:val="24"/>
          <w:szCs w:val="24"/>
        </w:rPr>
        <w:t>受托人：</w:t>
      </w:r>
      <w:r>
        <w:rPr>
          <w:rFonts w:ascii="宋体" w:hAnsi="宋体"/>
          <w:b/>
          <w:color w:val="000000"/>
          <w:sz w:val="24"/>
          <w:szCs w:val="24"/>
          <w:u w:val="single"/>
        </w:rPr>
        <w:t xml:space="preserve">                  </w:t>
      </w:r>
      <w:r>
        <w:rPr>
          <w:rFonts w:hint="eastAsia" w:ascii="宋体" w:hAnsi="宋体"/>
          <w:b/>
          <w:color w:val="000000"/>
          <w:sz w:val="24"/>
          <w:szCs w:val="24"/>
          <w:u w:val="single"/>
        </w:rPr>
        <w:t xml:space="preserve">     </w:t>
      </w:r>
      <w:r>
        <w:rPr>
          <w:rFonts w:ascii="宋体" w:hAnsi="宋体"/>
          <w:b/>
          <w:color w:val="000000"/>
          <w:sz w:val="24"/>
          <w:szCs w:val="24"/>
          <w:u w:val="single"/>
        </w:rPr>
        <w:t xml:space="preserve">  </w:t>
      </w:r>
    </w:p>
    <w:p>
      <w:pPr>
        <w:autoSpaceDE w:val="0"/>
        <w:autoSpaceDN w:val="0"/>
        <w:spacing w:line="480" w:lineRule="auto"/>
        <w:ind w:firstLine="1325" w:firstLineChars="550"/>
        <w:jc w:val="left"/>
        <w:rPr>
          <w:rFonts w:ascii="宋体" w:hAnsi="宋体"/>
          <w:b/>
          <w:color w:val="000000"/>
          <w:sz w:val="24"/>
          <w:szCs w:val="24"/>
          <w:u w:val="single"/>
        </w:rPr>
      </w:pPr>
      <w:r>
        <w:rPr>
          <w:rFonts w:hint="eastAsia" w:ascii="宋体" w:hAnsi="宋体"/>
          <w:b/>
          <w:color w:val="000000"/>
          <w:sz w:val="24"/>
          <w:szCs w:val="24"/>
        </w:rPr>
        <w:t>证件号码</w:t>
      </w:r>
      <w:r>
        <w:rPr>
          <w:rFonts w:ascii="宋体" w:hAnsi="宋体"/>
          <w:b/>
          <w:color w:val="000000"/>
          <w:sz w:val="24"/>
          <w:szCs w:val="24"/>
        </w:rPr>
        <w:t xml:space="preserve"> </w:t>
      </w:r>
      <w:r>
        <w:rPr>
          <w:rFonts w:hint="eastAsia" w:ascii="宋体" w:hAnsi="宋体"/>
          <w:b/>
          <w:color w:val="000000"/>
          <w:sz w:val="24"/>
          <w:szCs w:val="24"/>
        </w:rPr>
        <w:t>：</w:t>
      </w:r>
      <w:r>
        <w:rPr>
          <w:rFonts w:ascii="宋体" w:hAnsi="宋体"/>
          <w:b/>
          <w:color w:val="000000"/>
          <w:sz w:val="24"/>
          <w:szCs w:val="24"/>
          <w:u w:val="single"/>
        </w:rPr>
        <w:t xml:space="preserve">                   </w:t>
      </w:r>
      <w:r>
        <w:rPr>
          <w:rFonts w:hint="eastAsia" w:ascii="宋体" w:hAnsi="宋体"/>
          <w:b/>
          <w:color w:val="000000"/>
          <w:sz w:val="24"/>
          <w:szCs w:val="24"/>
          <w:u w:val="single"/>
        </w:rPr>
        <w:t xml:space="preserve">  </w:t>
      </w:r>
      <w:r>
        <w:rPr>
          <w:rFonts w:ascii="宋体" w:hAnsi="宋体"/>
          <w:b/>
          <w:color w:val="000000"/>
          <w:sz w:val="24"/>
          <w:szCs w:val="24"/>
          <w:u w:val="single"/>
        </w:rPr>
        <w:t xml:space="preserve">    </w:t>
      </w:r>
      <w:r>
        <w:rPr>
          <w:rFonts w:ascii="宋体" w:hAnsi="宋体"/>
          <w:b/>
          <w:color w:val="000000"/>
          <w:sz w:val="24"/>
          <w:szCs w:val="24"/>
        </w:rPr>
        <w:t xml:space="preserve">  </w:t>
      </w:r>
      <w:r>
        <w:rPr>
          <w:rFonts w:hint="eastAsia" w:ascii="宋体" w:hAnsi="宋体"/>
          <w:b/>
          <w:color w:val="000000"/>
          <w:sz w:val="24"/>
          <w:szCs w:val="24"/>
        </w:rPr>
        <w:t>电</w:t>
      </w:r>
      <w:r>
        <w:rPr>
          <w:rFonts w:ascii="宋体" w:hAnsi="宋体"/>
          <w:b/>
          <w:color w:val="000000"/>
          <w:sz w:val="24"/>
          <w:szCs w:val="24"/>
        </w:rPr>
        <w:t xml:space="preserve">  </w:t>
      </w:r>
      <w:r>
        <w:rPr>
          <w:rFonts w:hint="eastAsia" w:ascii="宋体" w:hAnsi="宋体"/>
          <w:b/>
          <w:color w:val="000000"/>
          <w:sz w:val="24"/>
          <w:szCs w:val="24"/>
        </w:rPr>
        <w:t>话：</w:t>
      </w:r>
      <w:r>
        <w:rPr>
          <w:rFonts w:ascii="宋体" w:hAnsi="宋体"/>
          <w:b/>
          <w:color w:val="000000"/>
          <w:sz w:val="24"/>
          <w:szCs w:val="24"/>
          <w:u w:val="single"/>
        </w:rPr>
        <w:t xml:space="preserve">                  </w:t>
      </w:r>
      <w:r>
        <w:rPr>
          <w:rFonts w:hint="eastAsia" w:ascii="宋体" w:hAnsi="宋体"/>
          <w:b/>
          <w:color w:val="000000"/>
          <w:sz w:val="24"/>
          <w:szCs w:val="24"/>
          <w:u w:val="single"/>
        </w:rPr>
        <w:t xml:space="preserve">     </w:t>
      </w:r>
      <w:r>
        <w:rPr>
          <w:rFonts w:ascii="宋体" w:hAnsi="宋体"/>
          <w:b/>
          <w:color w:val="000000"/>
          <w:sz w:val="24"/>
          <w:szCs w:val="24"/>
          <w:u w:val="single"/>
        </w:rPr>
        <w:t xml:space="preserve">  </w:t>
      </w:r>
    </w:p>
    <w:p>
      <w:pPr>
        <w:autoSpaceDE w:val="0"/>
        <w:autoSpaceDN w:val="0"/>
        <w:spacing w:line="480" w:lineRule="auto"/>
        <w:ind w:firstLine="1325" w:firstLineChars="550"/>
        <w:jc w:val="left"/>
        <w:rPr>
          <w:rFonts w:ascii="宋体" w:hAnsi="宋体"/>
          <w:b/>
          <w:color w:val="000000"/>
          <w:sz w:val="24"/>
          <w:szCs w:val="24"/>
          <w:u w:val="single"/>
        </w:rPr>
      </w:pPr>
      <w:r>
        <w:rPr>
          <w:rFonts w:hint="eastAsia" w:ascii="宋体" w:hAnsi="宋体"/>
          <w:b/>
          <w:color w:val="000000"/>
          <w:sz w:val="24"/>
          <w:szCs w:val="24"/>
        </w:rPr>
        <w:t>联系地址:</w:t>
      </w:r>
      <w:r>
        <w:rPr>
          <w:rFonts w:hint="eastAsia" w:ascii="宋体" w:hAnsi="宋体"/>
          <w:b/>
          <w:color w:val="000000"/>
          <w:sz w:val="24"/>
          <w:szCs w:val="24"/>
          <w:u w:val="single"/>
        </w:rPr>
        <w:t xml:space="preserve">                                                             </w:t>
      </w:r>
    </w:p>
    <w:p>
      <w:pPr>
        <w:spacing w:line="300" w:lineRule="exact"/>
        <w:ind w:left="321" w:leftChars="153" w:right="-279" w:rightChars="-133" w:firstLine="477" w:firstLineChars="199"/>
        <w:outlineLvl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shd w:val="clear" w:color="auto" w:fill="FFFFFF"/>
        </w:rPr>
        <w:t>甲方受委托于</w:t>
      </w:r>
      <w:r>
        <w:rPr>
          <w:rFonts w:cs="仿宋_GB2312" w:asciiTheme="minorEastAsia" w:hAnsiTheme="minorEastAsia" w:eastAsiaTheme="minorEastAsia"/>
          <w:sz w:val="24"/>
          <w:szCs w:val="24"/>
          <w:shd w:val="clear" w:color="auto" w:fill="FFFFFF"/>
        </w:rPr>
        <w:t>20</w:t>
      </w:r>
      <w:r>
        <w:rPr>
          <w:rFonts w:hint="eastAsia" w:cs="仿宋_GB2312" w:asciiTheme="minorEastAsia" w:hAnsiTheme="minorEastAsia" w:eastAsiaTheme="minorEastAsia"/>
          <w:sz w:val="24"/>
          <w:szCs w:val="24"/>
          <w:shd w:val="clear" w:color="auto" w:fill="FFFFFF"/>
        </w:rPr>
        <w:t>22年</w:t>
      </w:r>
      <w:r>
        <w:rPr>
          <w:rFonts w:hint="eastAsia" w:cs="仿宋_GB2312" w:asciiTheme="minorEastAsia" w:hAnsiTheme="minorEastAsia" w:eastAsiaTheme="minorEastAsia"/>
          <w:sz w:val="24"/>
          <w:szCs w:val="24"/>
          <w:shd w:val="clear" w:color="auto" w:fill="FFFFFF"/>
          <w:lang w:val="en-US" w:eastAsia="zh-CN"/>
        </w:rPr>
        <w:t>7</w:t>
      </w:r>
      <w:r>
        <w:rPr>
          <w:rFonts w:hint="eastAsia" w:cs="仿宋_GB2312" w:asciiTheme="minorEastAsia" w:hAnsiTheme="minorEastAsia" w:eastAsiaTheme="minorEastAsia"/>
          <w:sz w:val="24"/>
          <w:szCs w:val="24"/>
          <w:shd w:val="clear" w:color="auto" w:fill="FFFFFF"/>
        </w:rPr>
        <w:t>月</w:t>
      </w:r>
      <w:r>
        <w:rPr>
          <w:rFonts w:hint="eastAsia" w:cs="仿宋_GB2312" w:asciiTheme="minorEastAsia" w:hAnsiTheme="minorEastAsia" w:eastAsiaTheme="minorEastAsia"/>
          <w:sz w:val="24"/>
          <w:szCs w:val="24"/>
          <w:shd w:val="clear" w:color="auto" w:fill="FFFFFF"/>
          <w:lang w:val="en-US" w:eastAsia="zh-CN"/>
        </w:rPr>
        <w:t>11</w:t>
      </w:r>
      <w:r>
        <w:rPr>
          <w:rFonts w:hint="eastAsia" w:cs="仿宋_GB2312" w:asciiTheme="minorEastAsia" w:hAnsiTheme="minorEastAsia" w:eastAsiaTheme="minorEastAsia"/>
          <w:sz w:val="24"/>
          <w:szCs w:val="24"/>
          <w:shd w:val="clear" w:color="auto" w:fill="FFFFFF"/>
        </w:rPr>
        <w:t>日上午9:30，（标的详见竞价清单</w:t>
      </w:r>
      <w:r>
        <w:rPr>
          <w:rFonts w:cs="仿宋_GB2312" w:asciiTheme="minorEastAsia" w:hAnsiTheme="minorEastAsia" w:eastAsiaTheme="minorEastAsia"/>
          <w:sz w:val="24"/>
          <w:szCs w:val="24"/>
          <w:shd w:val="clear" w:color="auto" w:fill="FFFFFF"/>
        </w:rPr>
        <w:t>）</w:t>
      </w:r>
      <w:r>
        <w:rPr>
          <w:rFonts w:hint="eastAsia" w:cs="仿宋_GB2312" w:asciiTheme="minorEastAsia" w:hAnsiTheme="minorEastAsia" w:eastAsiaTheme="minorEastAsia"/>
          <w:sz w:val="24"/>
          <w:szCs w:val="24"/>
          <w:shd w:val="clear" w:color="auto" w:fill="FFFFFF"/>
        </w:rPr>
        <w:t>，在</w:t>
      </w:r>
      <w:r>
        <w:rPr>
          <w:rFonts w:hint="eastAsia" w:asciiTheme="minorEastAsia" w:hAnsiTheme="minorEastAsia" w:eastAsiaTheme="minorEastAsia"/>
          <w:sz w:val="24"/>
          <w:szCs w:val="24"/>
          <w:shd w:val="clear" w:color="auto" w:fill="FFFFFF"/>
        </w:rPr>
        <w:t>厦门市公共资源市场配置竞价系统（竞价端）采用网络竞价，举行</w:t>
      </w:r>
      <w:r>
        <w:rPr>
          <w:rFonts w:hint="eastAsia" w:cs="宋体" w:asciiTheme="minorEastAsia" w:hAnsiTheme="minorEastAsia" w:eastAsiaTheme="minorEastAsia"/>
          <w:bCs/>
          <w:color w:val="000000"/>
          <w:kern w:val="0"/>
          <w:sz w:val="24"/>
        </w:rPr>
        <w:t>政府储备物资折叠床一批</w:t>
      </w:r>
      <w:r>
        <w:rPr>
          <w:rFonts w:hint="eastAsia" w:cs="仿宋_GB2312" w:asciiTheme="minorEastAsia" w:hAnsiTheme="minorEastAsia" w:eastAsiaTheme="minorEastAsia"/>
          <w:sz w:val="24"/>
          <w:szCs w:val="24"/>
          <w:shd w:val="clear" w:color="auto" w:fill="FFFFFF"/>
        </w:rPr>
        <w:t>的竞</w:t>
      </w:r>
      <w:r>
        <w:rPr>
          <w:rFonts w:hint="eastAsia" w:asciiTheme="minorEastAsia" w:hAnsiTheme="minorEastAsia" w:eastAsiaTheme="minorEastAsia"/>
          <w:sz w:val="24"/>
          <w:szCs w:val="24"/>
          <w:shd w:val="clear" w:color="auto" w:fill="FFFFFF"/>
        </w:rPr>
        <w:t>价会。</w:t>
      </w:r>
      <w:r>
        <w:rPr>
          <w:rFonts w:hint="eastAsia" w:cs="仿宋_GB2312" w:asciiTheme="minorEastAsia" w:hAnsiTheme="minorEastAsia" w:eastAsiaTheme="minorEastAsia"/>
          <w:sz w:val="24"/>
          <w:szCs w:val="24"/>
          <w:shd w:val="clear" w:color="auto" w:fill="FFFFFF"/>
        </w:rPr>
        <w:t>根据《中华人民共和国拍卖法》及相关法律法规和专业性文件，竞价之前，甲、乙双方就本次竞买的有关事项，达成如下协议：</w:t>
      </w:r>
    </w:p>
    <w:p>
      <w:pPr>
        <w:pStyle w:val="20"/>
        <w:spacing w:beforeLines="50" w:afterLines="50" w:line="300" w:lineRule="exact"/>
        <w:ind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第一条  本协议所称竞价登记是指意向竞价人在《竞价公告》规定的截止时间内办理完成以下事项：</w:t>
      </w:r>
    </w:p>
    <w:p>
      <w:pPr>
        <w:pStyle w:val="20"/>
        <w:spacing w:beforeLines="50" w:afterLines="50" w:line="30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、携带报名相关资料到福建省</w:t>
      </w:r>
      <w:r>
        <w:rPr>
          <w:rFonts w:hint="eastAsia" w:asciiTheme="minorEastAsia" w:hAnsiTheme="minorEastAsia" w:eastAsiaTheme="minorEastAsia"/>
          <w:sz w:val="24"/>
          <w:szCs w:val="24"/>
          <w:lang w:val="en-US" w:eastAsia="zh-CN"/>
        </w:rPr>
        <w:t>鹏翰</w:t>
      </w:r>
      <w:r>
        <w:rPr>
          <w:rFonts w:hint="eastAsia" w:asciiTheme="minorEastAsia" w:hAnsiTheme="minorEastAsia" w:eastAsiaTheme="minorEastAsia"/>
          <w:sz w:val="24"/>
          <w:szCs w:val="24"/>
        </w:rPr>
        <w:t>拍卖有限公司（以下简称“拍卖人”）指定地点申请报名，填写报名登记表，提交资料及签署本网络竞价协议。</w:t>
      </w:r>
    </w:p>
    <w:p>
      <w:pPr>
        <w:pStyle w:val="20"/>
        <w:spacing w:beforeLines="50" w:afterLines="50" w:line="30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、竞价人须缴纳竞买保证金</w:t>
      </w:r>
      <w:r>
        <w:rPr>
          <w:rFonts w:hint="eastAsia" w:asciiTheme="minorEastAsia" w:hAnsiTheme="minorEastAsia" w:eastAsiaTheme="minorEastAsia"/>
          <w:bCs/>
          <w:color w:val="000000"/>
          <w:sz w:val="24"/>
          <w:szCs w:val="24"/>
        </w:rPr>
        <w:t>详见《竞价清单》</w:t>
      </w:r>
      <w:r>
        <w:rPr>
          <w:rFonts w:hint="eastAsia" w:asciiTheme="minorEastAsia" w:hAnsiTheme="minorEastAsia" w:eastAsiaTheme="minorEastAsia"/>
          <w:sz w:val="24"/>
          <w:szCs w:val="24"/>
        </w:rPr>
        <w:t>，并经拍卖人查验确认在</w:t>
      </w:r>
      <w:r>
        <w:rPr>
          <w:rFonts w:asciiTheme="minorEastAsia" w:hAnsiTheme="minorEastAsia" w:eastAsiaTheme="minorEastAsia"/>
          <w:sz w:val="24"/>
          <w:szCs w:val="24"/>
        </w:rPr>
        <w:t>20</w:t>
      </w:r>
      <w:r>
        <w:rPr>
          <w:rFonts w:hint="eastAsia" w:asciiTheme="minorEastAsia" w:hAnsiTheme="minorEastAsia" w:eastAsiaTheme="minorEastAsia"/>
          <w:sz w:val="24"/>
          <w:szCs w:val="24"/>
        </w:rPr>
        <w:t>22年</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日16:30时前汇达指定账户,以实际到账为准。</w:t>
      </w:r>
    </w:p>
    <w:p>
      <w:pPr>
        <w:pStyle w:val="20"/>
        <w:spacing w:beforeLines="50" w:afterLines="50" w:line="300" w:lineRule="exact"/>
        <w:ind w:firstLineChars="175"/>
        <w:rPr>
          <w:rFonts w:eastAsia="宋体"/>
          <w:b/>
          <w:bCs/>
          <w:sz w:val="24"/>
          <w:szCs w:val="24"/>
        </w:rPr>
      </w:pPr>
      <w:r>
        <w:rPr>
          <w:rFonts w:hint="eastAsia" w:asciiTheme="minorEastAsia" w:hAnsiTheme="minorEastAsia" w:eastAsiaTheme="minorEastAsia"/>
          <w:b/>
          <w:bCs/>
          <w:sz w:val="24"/>
          <w:szCs w:val="24"/>
        </w:rPr>
        <w:t>竞买保证金账户：</w:t>
      </w:r>
      <w:r>
        <w:rPr>
          <w:rFonts w:eastAsia="宋体"/>
          <w:b/>
          <w:bCs/>
          <w:sz w:val="24"/>
          <w:szCs w:val="24"/>
        </w:rPr>
        <w:t>收款人：福建省鹏翰拍卖有限公司，</w:t>
      </w:r>
    </w:p>
    <w:p>
      <w:pPr>
        <w:widowControl/>
        <w:spacing w:before="194" w:beforeLines="50" w:line="460" w:lineRule="exact"/>
        <w:ind w:firstLine="482" w:firstLineChars="200"/>
        <w:jc w:val="left"/>
        <w:rPr>
          <w:rFonts w:eastAsia="宋体"/>
          <w:sz w:val="24"/>
          <w:szCs w:val="24"/>
        </w:rPr>
      </w:pPr>
      <w:r>
        <w:rPr>
          <w:rFonts w:eastAsia="宋体"/>
          <w:b/>
          <w:bCs/>
          <w:sz w:val="24"/>
          <w:szCs w:val="24"/>
        </w:rPr>
        <w:t>账号：40 349 001 040 007 310 ；</w:t>
      </w:r>
      <w:r>
        <w:rPr>
          <w:rFonts w:hint="eastAsia"/>
          <w:b/>
          <w:bCs/>
          <w:sz w:val="24"/>
          <w:szCs w:val="24"/>
          <w:lang w:val="en-US" w:eastAsia="zh-CN"/>
        </w:rPr>
        <w:t xml:space="preserve">    </w:t>
      </w:r>
      <w:r>
        <w:rPr>
          <w:rFonts w:eastAsia="宋体"/>
          <w:b/>
          <w:bCs/>
          <w:sz w:val="24"/>
          <w:szCs w:val="24"/>
        </w:rPr>
        <w:t>开户行：厦门农业银行梧村支行。</w:t>
      </w:r>
    </w:p>
    <w:p>
      <w:pPr>
        <w:autoSpaceDE w:val="0"/>
        <w:autoSpaceDN w:val="0"/>
        <w:adjustRightInd w:val="0"/>
        <w:snapToGrid w:val="0"/>
        <w:spacing w:afterLines="50" w:line="300" w:lineRule="exact"/>
        <w:ind w:left="2" w:firstLine="357" w:firstLineChars="149"/>
        <w:rPr>
          <w:rFonts w:asciiTheme="minorEastAsia" w:hAnsiTheme="minorEastAsia" w:eastAsiaTheme="minorEastAsia"/>
          <w:sz w:val="24"/>
          <w:szCs w:val="24"/>
        </w:rPr>
      </w:pPr>
      <w:r>
        <w:rPr>
          <w:rFonts w:hint="eastAsia" w:asciiTheme="minorEastAsia" w:hAnsiTheme="minorEastAsia" w:eastAsiaTheme="minorEastAsia"/>
          <w:sz w:val="24"/>
          <w:szCs w:val="24"/>
        </w:rPr>
        <w:t>3、竞价人要求为：</w:t>
      </w:r>
      <w:r>
        <w:rPr>
          <w:rFonts w:hint="eastAsia" w:cs="宋体" w:asciiTheme="minorEastAsia" w:hAnsiTheme="minorEastAsia" w:eastAsiaTheme="minorEastAsia"/>
          <w:color w:val="000000"/>
          <w:sz w:val="24"/>
          <w:szCs w:val="24"/>
        </w:rPr>
        <w:t>竞价人必须是在中华人民共和国合法注册的独立法人或者其他组织或具有独立民事行为能力的自然人。竞价人是法人或者其他组织的应提供营业执照等证明文件；竞价人是自然人的应提供有效的自然人身份证明。竞价人不满足上述规定的基本资格条件或提供资格证明文件不全的，其竞价将被拒绝，以上资格证明文件为复印件的，须加盖竞价人公章，且原件备查。</w:t>
      </w:r>
    </w:p>
    <w:p>
      <w:pPr>
        <w:autoSpaceDE w:val="0"/>
        <w:autoSpaceDN w:val="0"/>
        <w:adjustRightInd w:val="0"/>
        <w:snapToGrid w:val="0"/>
        <w:spacing w:beforeLines="50" w:afterLines="50" w:line="300" w:lineRule="exact"/>
        <w:ind w:left="2" w:firstLine="357" w:firstLineChars="149"/>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、意向竞价人报名时应当提供的材料：</w:t>
      </w:r>
    </w:p>
    <w:p>
      <w:pPr>
        <w:autoSpaceDE w:val="0"/>
        <w:autoSpaceDN w:val="0"/>
        <w:adjustRightInd w:val="0"/>
        <w:snapToGrid w:val="0"/>
        <w:spacing w:afterLines="50" w:line="300" w:lineRule="exact"/>
        <w:ind w:left="2" w:leftChars="1" w:firstLine="600" w:firstLineChars="25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（1）意向竞价人主体资格证明文件（加盖公章），自然人提供身份证复印件；</w:t>
      </w:r>
    </w:p>
    <w:p>
      <w:pPr>
        <w:autoSpaceDE w:val="0"/>
        <w:autoSpaceDN w:val="0"/>
        <w:adjustRightInd w:val="0"/>
        <w:snapToGrid w:val="0"/>
        <w:spacing w:afterLines="50" w:line="300" w:lineRule="exact"/>
        <w:ind w:left="1239" w:leftChars="286" w:hanging="638" w:hangingChars="266"/>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（2）委托代理人另须提交授权委托书（盖公章）、身份证、法定代表人或负责人身份证复印件（盖公章）、《营业执照》复印件（盖公章）；</w:t>
      </w:r>
    </w:p>
    <w:p>
      <w:pPr>
        <w:autoSpaceDE w:val="0"/>
        <w:autoSpaceDN w:val="0"/>
        <w:adjustRightInd w:val="0"/>
        <w:snapToGrid w:val="0"/>
        <w:spacing w:afterLines="50" w:line="300" w:lineRule="exact"/>
        <w:ind w:left="2" w:leftChars="1" w:firstLine="600" w:firstLineChars="25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（3）竞买保证金缴款凭证复印件（交验原件）；</w:t>
      </w:r>
    </w:p>
    <w:p>
      <w:pPr>
        <w:pStyle w:val="20"/>
        <w:spacing w:beforeLines="50" w:afterLines="50" w:line="300" w:lineRule="exact"/>
        <w:ind w:firstLine="424" w:firstLineChars="177"/>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、意向竞价人应提供真实资料，因意向竞价人提供不实资料，进行虚假陈述，隐瞒事实真相所造成的一切后果，应自行承担相应的法律责任及后果。</w:t>
      </w:r>
    </w:p>
    <w:p>
      <w:pPr>
        <w:pStyle w:val="20"/>
        <w:spacing w:beforeLines="50" w:afterLines="50" w:line="300" w:lineRule="exact"/>
        <w:ind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第二条 意向竞价人在办理竞价登记之前，应当：</w:t>
      </w:r>
    </w:p>
    <w:p>
      <w:pPr>
        <w:spacing w:line="300" w:lineRule="exac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仔细了解竞价标的详细情况，到现场进行实物审鉴，以实际看样为准。竞价人认可并接受拍卖人和委托人对竞价标的来源、风险和瑕疵进行的提示和披露，系自愿参加竞价。一旦进行报价即表明该意向竞价人接受竞价标的的一切现状（包括瑕疵等），成交后所发生的一切后果需自行承担。</w:t>
      </w:r>
    </w:p>
    <w:p>
      <w:pPr>
        <w:pStyle w:val="20"/>
        <w:spacing w:beforeLines="50" w:afterLines="50" w:line="300" w:lineRule="exac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仔细阅读本协议，并签章表示完全认同。意向竞价人在签章认可本协议后，即表示认同所附合同样本的全部条款，确认拍卖人已提供了全部与信息公告内容一致的相关资料并对交易可能存在的风险进行了必要的提示。</w:t>
      </w:r>
    </w:p>
    <w:p>
      <w:pPr>
        <w:pStyle w:val="20"/>
        <w:spacing w:beforeLines="50" w:afterLines="50"/>
        <w:ind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第三条</w:t>
      </w:r>
      <w:r>
        <w:rPr>
          <w:rFonts w:asciiTheme="minorEastAsia" w:hAnsiTheme="minorEastAsia" w:eastAsiaTheme="minorEastAsia"/>
          <w:b/>
          <w:sz w:val="24"/>
          <w:szCs w:val="24"/>
        </w:rPr>
        <w:t xml:space="preserve">  </w:t>
      </w:r>
      <w:r>
        <w:rPr>
          <w:rFonts w:hint="eastAsia" w:asciiTheme="minorEastAsia" w:hAnsiTheme="minorEastAsia" w:eastAsiaTheme="minorEastAsia"/>
          <w:sz w:val="24"/>
          <w:szCs w:val="24"/>
        </w:rPr>
        <w:t>意向竞价人完成竞买登记并通过资格审查后即成为竞价人。竞价人交完保证金后拍卖人将账户密码以及登录地址发放给竞价人。竞价人应当确保所留联系方式畅通。</w:t>
      </w:r>
    </w:p>
    <w:p>
      <w:pPr>
        <w:pStyle w:val="20"/>
        <w:spacing w:beforeLines="50" w:afterLines="50"/>
        <w:ind w:firstLine="283" w:firstLineChars="118"/>
        <w:rPr>
          <w:rFonts w:asciiTheme="minorEastAsia" w:hAnsiTheme="minorEastAsia" w:eastAsiaTheme="minorEastAsia"/>
          <w:bCs/>
          <w:sz w:val="24"/>
          <w:szCs w:val="24"/>
        </w:rPr>
      </w:pPr>
      <w:r>
        <w:rPr>
          <w:rFonts w:hint="eastAsia" w:asciiTheme="minorEastAsia" w:hAnsiTheme="minorEastAsia" w:eastAsiaTheme="minorEastAsia"/>
          <w:sz w:val="24"/>
          <w:szCs w:val="24"/>
        </w:rPr>
        <w:t>第四条</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竞价人应提前登陆电子竞价系统熟悉竞价环境、修改登录密码，并在《竞价公告》载明的竞价开始时间前</w:t>
      </w:r>
      <w:r>
        <w:rPr>
          <w:rFonts w:asciiTheme="minorEastAsia" w:hAnsiTheme="minorEastAsia" w:eastAsiaTheme="minorEastAsia"/>
          <w:sz w:val="24"/>
          <w:szCs w:val="24"/>
        </w:rPr>
        <w:t>20</w:t>
      </w:r>
      <w:r>
        <w:rPr>
          <w:rFonts w:hint="eastAsia" w:asciiTheme="minorEastAsia" w:hAnsiTheme="minorEastAsia" w:eastAsiaTheme="minorEastAsia"/>
          <w:sz w:val="24"/>
          <w:szCs w:val="24"/>
        </w:rPr>
        <w:t>分钟登录系统等待竞价会开始。竞价人应尽量采用高带宽、高性能、安全的网络环境。鉴于互联网环境可能存在的延时等不可抗因素，</w:t>
      </w:r>
      <w:r>
        <w:rPr>
          <w:rFonts w:hint="eastAsia" w:asciiTheme="minorEastAsia" w:hAnsiTheme="minorEastAsia" w:eastAsiaTheme="minorEastAsia"/>
          <w:bCs/>
          <w:sz w:val="24"/>
          <w:szCs w:val="24"/>
        </w:rPr>
        <w:t>竞价人应尽量在自由报价期内充分出价，在限时竞价期内及时出价。</w:t>
      </w:r>
    </w:p>
    <w:p>
      <w:pPr>
        <w:pStyle w:val="20"/>
        <w:spacing w:beforeLines="50" w:afterLines="50"/>
        <w:ind w:firstLine="283" w:firstLineChars="118"/>
        <w:rPr>
          <w:rFonts w:asciiTheme="minorEastAsia" w:hAnsiTheme="minorEastAsia" w:eastAsiaTheme="minorEastAsia"/>
          <w:bCs/>
          <w:sz w:val="24"/>
          <w:szCs w:val="24"/>
        </w:rPr>
      </w:pPr>
      <w:r>
        <w:rPr>
          <w:rFonts w:hint="eastAsia" w:asciiTheme="minorEastAsia" w:hAnsiTheme="minorEastAsia" w:eastAsiaTheme="minorEastAsia"/>
          <w:sz w:val="24"/>
          <w:szCs w:val="24"/>
        </w:rPr>
        <w:t>第五条</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竞价主持</w:t>
      </w:r>
    </w:p>
    <w:p>
      <w:pPr>
        <w:pStyle w:val="20"/>
        <w:spacing w:beforeLines="50" w:afterLines="5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本次竞价活动由拍卖师主持，并在本电子平台以对最终的中标价和买受人发布结果的方式进行成交确认。</w:t>
      </w:r>
    </w:p>
    <w:p>
      <w:pPr>
        <w:pStyle w:val="20"/>
        <w:spacing w:beforeLines="50" w:afterLines="50"/>
        <w:ind w:left="420" w:leftChars="136" w:hanging="134" w:hangingChars="56"/>
        <w:rPr>
          <w:rFonts w:asciiTheme="minorEastAsia" w:hAnsiTheme="minorEastAsia" w:eastAsiaTheme="minorEastAsia"/>
          <w:sz w:val="24"/>
          <w:szCs w:val="24"/>
        </w:rPr>
      </w:pPr>
      <w:r>
        <w:rPr>
          <w:rFonts w:hint="eastAsia" w:asciiTheme="minorEastAsia" w:hAnsiTheme="minorEastAsia" w:eastAsiaTheme="minorEastAsia"/>
          <w:sz w:val="24"/>
          <w:szCs w:val="24"/>
        </w:rPr>
        <w:t>第六条</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竞价流程</w:t>
      </w:r>
    </w:p>
    <w:p>
      <w:pPr>
        <w:pStyle w:val="20"/>
        <w:spacing w:beforeLines="50" w:afterLines="5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本次竞价采用网络电子竞价方式进行，竞价的起止时间以电子竞价系统（以下简称系统）的服务器时间为准。竞价采取以下操作流程。</w:t>
      </w:r>
    </w:p>
    <w:p>
      <w:pPr>
        <w:pStyle w:val="20"/>
        <w:spacing w:beforeLines="50" w:afterLines="50"/>
        <w:ind w:firstLineChars="175"/>
        <w:rPr>
          <w:rFonts w:asciiTheme="minorEastAsia" w:hAnsiTheme="minorEastAsia" w:eastAsiaTheme="minorEastAsia"/>
          <w:bCs/>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hint="eastAsia" w:asciiTheme="minorEastAsia" w:hAnsiTheme="minorEastAsia" w:eastAsiaTheme="minorEastAsia"/>
          <w:bCs/>
          <w:sz w:val="24"/>
          <w:szCs w:val="24"/>
        </w:rPr>
        <w:t>竞价标的</w:t>
      </w:r>
    </w:p>
    <w:p>
      <w:pPr>
        <w:pStyle w:val="20"/>
        <w:spacing w:beforeLines="50" w:afterLines="50"/>
        <w:ind w:firstLine="600" w:firstLineChars="25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本次竞价共为</w:t>
      </w:r>
      <w:r>
        <w:rPr>
          <w:rFonts w:hint="eastAsia" w:asciiTheme="minorEastAsia" w:hAnsiTheme="minorEastAsia" w:eastAsiaTheme="minorEastAsia"/>
          <w:b/>
          <w:bCs/>
          <w:sz w:val="24"/>
          <w:szCs w:val="24"/>
          <w:u w:val="single"/>
        </w:rPr>
        <w:t>1</w:t>
      </w:r>
      <w:r>
        <w:rPr>
          <w:rFonts w:hint="eastAsia" w:asciiTheme="minorEastAsia" w:hAnsiTheme="minorEastAsia" w:eastAsiaTheme="minorEastAsia"/>
          <w:bCs/>
          <w:sz w:val="24"/>
          <w:szCs w:val="24"/>
        </w:rPr>
        <w:t>个标的，详见《</w:t>
      </w:r>
      <w:r>
        <w:rPr>
          <w:rFonts w:hint="eastAsia" w:cs="宋体" w:asciiTheme="minorEastAsia" w:hAnsiTheme="minorEastAsia" w:eastAsiaTheme="minorEastAsia"/>
          <w:sz w:val="24"/>
          <w:szCs w:val="24"/>
        </w:rPr>
        <w:t>竞价清单</w:t>
      </w:r>
      <w:r>
        <w:rPr>
          <w:rFonts w:hint="eastAsia" w:asciiTheme="minorEastAsia" w:hAnsiTheme="minorEastAsia" w:eastAsiaTheme="minorEastAsia"/>
          <w:bCs/>
          <w:sz w:val="24"/>
          <w:szCs w:val="24"/>
        </w:rPr>
        <w:t>》。</w:t>
      </w:r>
    </w:p>
    <w:p>
      <w:pPr>
        <w:pStyle w:val="20"/>
        <w:spacing w:beforeLines="50" w:afterLines="50"/>
        <w:ind w:firstLineChars="175"/>
        <w:rPr>
          <w:rFonts w:asciiTheme="minorEastAsia" w:hAnsiTheme="minorEastAsia" w:eastAsiaTheme="minorEastAsia"/>
          <w:bCs/>
          <w:sz w:val="24"/>
          <w:szCs w:val="24"/>
        </w:rPr>
      </w:pPr>
      <w:r>
        <w:rPr>
          <w:rFonts w:asciiTheme="minorEastAsia" w:hAnsiTheme="minorEastAsia" w:eastAsiaTheme="minorEastAsia"/>
          <w:bCs/>
          <w:sz w:val="24"/>
          <w:szCs w:val="24"/>
        </w:rPr>
        <w:t>2</w:t>
      </w:r>
      <w:r>
        <w:rPr>
          <w:rFonts w:hint="eastAsia" w:asciiTheme="minorEastAsia" w:hAnsiTheme="minorEastAsia" w:eastAsiaTheme="minorEastAsia"/>
          <w:bCs/>
          <w:sz w:val="24"/>
          <w:szCs w:val="24"/>
        </w:rPr>
        <w:t>、报价时间</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本次竞价标的自由报价期开始于：2022年</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日上午9:30。</w:t>
      </w:r>
    </w:p>
    <w:p>
      <w:pPr>
        <w:pStyle w:val="20"/>
        <w:spacing w:beforeLines="50" w:afterLines="50"/>
        <w:ind w:firstLine="480"/>
        <w:rPr>
          <w:rFonts w:cs="Arial" w:asciiTheme="minorEastAsia" w:hAnsiTheme="minorEastAsia" w:eastAsiaTheme="minorEastAsia"/>
          <w:kern w:val="0"/>
          <w:sz w:val="24"/>
          <w:szCs w:val="24"/>
        </w:rPr>
      </w:pPr>
      <w:r>
        <w:rPr>
          <w:rFonts w:hint="eastAsia" w:asciiTheme="minorEastAsia" w:hAnsiTheme="minorEastAsia" w:eastAsiaTheme="minorEastAsia"/>
          <w:sz w:val="24"/>
          <w:szCs w:val="24"/>
        </w:rPr>
        <w:t>各标的竞价自由报价期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5</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sz w:val="24"/>
          <w:szCs w:val="24"/>
        </w:rPr>
        <w:t>分钟，自由报价结束后立即自动进入延时报价期。延时报价期可由多个延时报价周期组成，每个延时报价周期为</w:t>
      </w:r>
      <w:r>
        <w:rPr>
          <w:rFonts w:hint="eastAsia" w:asciiTheme="minorEastAsia" w:hAnsiTheme="minorEastAsia" w:eastAsiaTheme="minorEastAsia"/>
          <w:b/>
          <w:bCs/>
          <w:sz w:val="24"/>
          <w:szCs w:val="24"/>
          <w:u w:val="single"/>
        </w:rPr>
        <w:t xml:space="preserve">   </w:t>
      </w:r>
      <w:r>
        <w:rPr>
          <w:rFonts w:hint="eastAsia" w:asciiTheme="minorEastAsia" w:hAnsiTheme="minorEastAsia" w:eastAsiaTheme="minorEastAsia"/>
          <w:b/>
          <w:bCs/>
          <w:sz w:val="24"/>
          <w:szCs w:val="24"/>
          <w:u w:val="single"/>
          <w:lang w:val="en-US" w:eastAsia="zh-CN"/>
        </w:rPr>
        <w:t>2</w:t>
      </w:r>
      <w:r>
        <w:rPr>
          <w:rFonts w:hint="eastAsia" w:asciiTheme="minorEastAsia" w:hAnsiTheme="minorEastAsia" w:eastAsiaTheme="minorEastAsia"/>
          <w:b/>
          <w:bCs/>
          <w:sz w:val="24"/>
          <w:szCs w:val="24"/>
          <w:u w:val="single"/>
        </w:rPr>
        <w:t xml:space="preserve">   </w:t>
      </w:r>
      <w:r>
        <w:rPr>
          <w:rFonts w:hint="eastAsia" w:asciiTheme="minorEastAsia" w:hAnsiTheme="minorEastAsia" w:eastAsiaTheme="minorEastAsia"/>
          <w:sz w:val="24"/>
          <w:szCs w:val="24"/>
          <w:lang w:val="en-US" w:eastAsia="zh-CN"/>
        </w:rPr>
        <w:t>分钟</w:t>
      </w:r>
      <w:r>
        <w:rPr>
          <w:rFonts w:hint="eastAsia" w:asciiTheme="minorEastAsia" w:hAnsiTheme="minorEastAsia" w:eastAsiaTheme="minorEastAsia"/>
          <w:sz w:val="24"/>
          <w:szCs w:val="24"/>
        </w:rPr>
        <w:t>。在一个延时报价周期内，如出现有效报价，则立即自动进入新一轮的延时报价周期；在一个延时报价周期内如未出现有效报价，则本次竞价结束。自由报价期竞价人可以多次报价</w:t>
      </w:r>
      <w:r>
        <w:rPr>
          <w:rFonts w:hint="eastAsia" w:cs="Arial" w:asciiTheme="minorEastAsia" w:hAnsiTheme="minorEastAsia" w:eastAsiaTheme="minorEastAsia"/>
          <w:kern w:val="0"/>
          <w:sz w:val="24"/>
          <w:szCs w:val="24"/>
        </w:rPr>
        <w:t>。</w:t>
      </w:r>
      <w:r>
        <w:rPr>
          <w:rFonts w:cs="Arial" w:asciiTheme="minorEastAsia" w:hAnsiTheme="minorEastAsia" w:eastAsiaTheme="minorEastAsia"/>
          <w:kern w:val="0"/>
          <w:sz w:val="24"/>
          <w:szCs w:val="24"/>
        </w:rPr>
        <w:t xml:space="preserve">  </w:t>
      </w:r>
    </w:p>
    <w:p>
      <w:pPr>
        <w:pStyle w:val="20"/>
        <w:widowControl/>
        <w:spacing w:beforeLines="50" w:afterLines="50"/>
        <w:ind w:firstLineChars="175"/>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、报价的有效性</w:t>
      </w:r>
    </w:p>
    <w:p>
      <w:pPr>
        <w:pStyle w:val="20"/>
        <w:widowControl/>
        <w:spacing w:beforeLines="50" w:afterLines="5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竞价会的首个报价只需不低于标的底价即为有效。第二个报价起，每次报价的最低加价幅度</w:t>
      </w:r>
      <w:r>
        <w:rPr>
          <w:rFonts w:hint="eastAsia" w:asciiTheme="minorEastAsia" w:hAnsiTheme="minorEastAsia" w:eastAsiaTheme="minorEastAsia"/>
          <w:bCs/>
          <w:sz w:val="24"/>
          <w:szCs w:val="24"/>
        </w:rPr>
        <w:t>详见《</w:t>
      </w:r>
      <w:r>
        <w:rPr>
          <w:rFonts w:hint="eastAsia" w:cs="宋体" w:asciiTheme="minorEastAsia" w:hAnsiTheme="minorEastAsia" w:eastAsiaTheme="minorEastAsia"/>
          <w:color w:val="000000"/>
          <w:sz w:val="24"/>
          <w:szCs w:val="24"/>
        </w:rPr>
        <w:t>竞价清单</w:t>
      </w:r>
      <w:r>
        <w:rPr>
          <w:rFonts w:hint="eastAsia" w:asciiTheme="minorEastAsia" w:hAnsiTheme="minorEastAsia" w:eastAsiaTheme="minorEastAsia"/>
          <w:bCs/>
          <w:sz w:val="24"/>
          <w:szCs w:val="24"/>
        </w:rPr>
        <w:t>》</w:t>
      </w:r>
      <w:r>
        <w:rPr>
          <w:rFonts w:hint="eastAsia" w:asciiTheme="minorEastAsia" w:hAnsiTheme="minorEastAsia" w:eastAsiaTheme="minorEastAsia"/>
          <w:sz w:val="24"/>
          <w:szCs w:val="24"/>
        </w:rPr>
        <w:t>，即每次报价不得低于当前最高有效报价加上最低加价幅度，不限最高报价。</w:t>
      </w:r>
    </w:p>
    <w:p>
      <w:pPr>
        <w:pStyle w:val="20"/>
        <w:widowControl/>
        <w:spacing w:beforeLines="50" w:afterLines="50"/>
        <w:ind w:firstLine="424" w:firstLineChars="177"/>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、买受人的确定</w:t>
      </w:r>
    </w:p>
    <w:p>
      <w:pPr>
        <w:pStyle w:val="20"/>
        <w:widowControl/>
        <w:spacing w:beforeLines="50" w:afterLines="5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竞价会各项标的竞价结束时的</w:t>
      </w:r>
      <w:r>
        <w:rPr>
          <w:rFonts w:hint="eastAsia" w:cs="Arial" w:asciiTheme="minorEastAsia" w:hAnsiTheme="minorEastAsia" w:eastAsiaTheme="minorEastAsia"/>
          <w:kern w:val="0"/>
          <w:sz w:val="24"/>
          <w:szCs w:val="24"/>
        </w:rPr>
        <w:t>最高有效报价被认定为中标价，该竞价人也被认定为该项标的的买受人。</w:t>
      </w:r>
    </w:p>
    <w:p>
      <w:pPr>
        <w:pStyle w:val="20"/>
        <w:widowControl/>
        <w:spacing w:beforeLines="50" w:afterLines="50"/>
        <w:ind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第七条</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报价一经确认提交，不可修改或撤销，竞价人应对自己的报价行为负责，一经报价即为有效，不得以任何理由对抗自己报价的法律效果。各竞价人应谨慎思考，合理报价。 </w:t>
      </w:r>
    </w:p>
    <w:p>
      <w:pPr>
        <w:pStyle w:val="20"/>
        <w:spacing w:beforeLines="50" w:afterLines="50"/>
        <w:ind w:left="141" w:leftChars="67" w:firstLine="141" w:firstLineChars="59"/>
        <w:rPr>
          <w:rFonts w:asciiTheme="minorEastAsia" w:hAnsiTheme="minorEastAsia" w:eastAsiaTheme="minorEastAsia"/>
          <w:bCs/>
          <w:sz w:val="24"/>
          <w:szCs w:val="24"/>
        </w:rPr>
      </w:pPr>
      <w:r>
        <w:rPr>
          <w:rFonts w:hint="eastAsia" w:asciiTheme="minorEastAsia" w:hAnsiTheme="minorEastAsia" w:eastAsiaTheme="minorEastAsia"/>
          <w:bCs/>
          <w:sz w:val="24"/>
          <w:szCs w:val="24"/>
        </w:rPr>
        <w:t>第八条</w:t>
      </w:r>
      <w:r>
        <w:rPr>
          <w:rFonts w:asciiTheme="minorEastAsia" w:hAnsiTheme="minorEastAsia" w:eastAsiaTheme="minorEastAsia"/>
          <w:bCs/>
          <w:sz w:val="24"/>
          <w:szCs w:val="24"/>
        </w:rPr>
        <w:t xml:space="preserve"> </w:t>
      </w:r>
      <w:r>
        <w:rPr>
          <w:rFonts w:hint="eastAsia" w:asciiTheme="minorEastAsia" w:hAnsiTheme="minorEastAsia" w:eastAsiaTheme="minorEastAsia"/>
          <w:bCs/>
          <w:sz w:val="24"/>
          <w:szCs w:val="24"/>
        </w:rPr>
        <w:t xml:space="preserve"> 在竞价会结束后，买受人应自行下载《成交结果确认书》并签章。买受人应在</w:t>
      </w:r>
      <w:r>
        <w:rPr>
          <w:rFonts w:asciiTheme="minorEastAsia" w:hAnsiTheme="minorEastAsia" w:eastAsiaTheme="minorEastAsia"/>
          <w:bCs/>
          <w:sz w:val="24"/>
          <w:szCs w:val="24"/>
        </w:rPr>
        <w:t xml:space="preserve"> </w:t>
      </w:r>
      <w:r>
        <w:rPr>
          <w:rFonts w:hint="eastAsia" w:asciiTheme="minorEastAsia" w:hAnsiTheme="minorEastAsia" w:eastAsiaTheme="minorEastAsia"/>
          <w:bCs/>
          <w:sz w:val="24"/>
          <w:szCs w:val="24"/>
        </w:rPr>
        <w:t>3个工作日内携带已签章的《成交结果确认书》一式五份至拍卖人所在地完成确认书的签署后，并于公示期满7天后且委托人收到竞价全款后五个工作日内,由买受人</w:t>
      </w:r>
      <w:r>
        <w:rPr>
          <w:rFonts w:hint="eastAsia" w:asciiTheme="minorEastAsia" w:hAnsiTheme="minorEastAsia" w:eastAsiaTheme="minorEastAsia"/>
          <w:sz w:val="24"/>
          <w:szCs w:val="24"/>
        </w:rPr>
        <w:t>凭拍卖人盖章确认的</w:t>
      </w:r>
      <w:r>
        <w:rPr>
          <w:rFonts w:hint="eastAsia" w:asciiTheme="minorEastAsia" w:hAnsiTheme="minorEastAsia" w:eastAsiaTheme="minorEastAsia"/>
          <w:bCs/>
          <w:sz w:val="24"/>
          <w:szCs w:val="24"/>
        </w:rPr>
        <w:t>《成交结果确认书》与</w:t>
      </w:r>
      <w:r>
        <w:rPr>
          <w:rFonts w:hint="eastAsia" w:asciiTheme="minorEastAsia" w:hAnsiTheme="minorEastAsia" w:eastAsiaTheme="minorEastAsia"/>
          <w:sz w:val="24"/>
          <w:szCs w:val="24"/>
        </w:rPr>
        <w:t>委托人进行标的物移交（若遇节假日则顺延节后移交）。</w:t>
      </w:r>
      <w:r>
        <w:rPr>
          <w:rFonts w:hint="eastAsia" w:asciiTheme="minorEastAsia" w:hAnsiTheme="minorEastAsia" w:eastAsiaTheme="minorEastAsia"/>
          <w:bCs/>
          <w:sz w:val="24"/>
          <w:szCs w:val="24"/>
        </w:rPr>
        <w:t>《成交结果确认书》</w:t>
      </w:r>
      <w:r>
        <w:rPr>
          <w:rFonts w:hint="eastAsia" w:asciiTheme="minorEastAsia" w:hAnsiTheme="minorEastAsia" w:eastAsiaTheme="minorEastAsia"/>
          <w:sz w:val="24"/>
          <w:szCs w:val="24"/>
        </w:rPr>
        <w:t>及合同签订手续是否完成不影响合同的成立。</w:t>
      </w:r>
    </w:p>
    <w:p>
      <w:pPr>
        <w:pStyle w:val="20"/>
        <w:tabs>
          <w:tab w:val="left" w:pos="142"/>
        </w:tabs>
        <w:spacing w:beforeLines="50" w:afterLines="50"/>
        <w:ind w:left="141" w:leftChars="67" w:firstLine="141" w:firstLineChars="59"/>
        <w:rPr>
          <w:rFonts w:asciiTheme="minorEastAsia" w:hAnsiTheme="minorEastAsia" w:eastAsiaTheme="minorEastAsia"/>
          <w:sz w:val="24"/>
          <w:szCs w:val="24"/>
        </w:rPr>
      </w:pPr>
      <w:r>
        <w:rPr>
          <w:rFonts w:hint="eastAsia" w:asciiTheme="minorEastAsia" w:hAnsiTheme="minorEastAsia" w:eastAsiaTheme="minorEastAsia"/>
          <w:sz w:val="24"/>
          <w:szCs w:val="24"/>
        </w:rPr>
        <w:t>第九条</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成交款、佣金、保证金、条款</w:t>
      </w:r>
    </w:p>
    <w:p>
      <w:pPr>
        <w:pStyle w:val="20"/>
        <w:spacing w:beforeLines="50" w:afterLines="50"/>
        <w:ind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1、竞价款项：竞价成交后，买受人应于</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日内将款项至委托人账户,委托人不提供票据。</w:t>
      </w:r>
    </w:p>
    <w:p>
      <w:pPr>
        <w:pStyle w:val="20"/>
        <w:spacing w:beforeLines="50" w:afterLines="50"/>
        <w:ind w:firstLine="141" w:firstLineChars="59"/>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kern w:val="0"/>
          <w:sz w:val="24"/>
          <w:szCs w:val="24"/>
        </w:rPr>
        <w:t>2、竞价佣金:竞价成交后，买受人应于</w:t>
      </w:r>
      <w:r>
        <w:rPr>
          <w:rFonts w:hint="eastAsia" w:asciiTheme="minorEastAsia" w:hAnsiTheme="minorEastAsia" w:eastAsiaTheme="minorEastAsia"/>
          <w:kern w:val="0"/>
          <w:sz w:val="24"/>
          <w:szCs w:val="24"/>
          <w:lang w:val="en-US" w:eastAsia="zh-CN"/>
        </w:rPr>
        <w:t>7</w:t>
      </w:r>
      <w:r>
        <w:rPr>
          <w:rFonts w:hint="eastAsia" w:asciiTheme="minorEastAsia" w:hAnsiTheme="minorEastAsia" w:eastAsiaTheme="minorEastAsia"/>
          <w:kern w:val="0"/>
          <w:sz w:val="24"/>
          <w:szCs w:val="24"/>
        </w:rPr>
        <w:t>日内将标的成交价的5%向甲方支付拍卖佣金,甲方给予开具佣金发票。</w:t>
      </w:r>
    </w:p>
    <w:p>
      <w:pPr>
        <w:pStyle w:val="20"/>
        <w:spacing w:beforeLines="50" w:afterLines="50"/>
        <w:ind w:firstLine="0" w:firstLineChars="0"/>
        <w:rPr>
          <w:rFonts w:asciiTheme="minorEastAsia" w:hAnsiTheme="minorEastAsia" w:eastAsiaTheme="minorEastAsia"/>
          <w:kern w:val="0"/>
          <w:sz w:val="24"/>
          <w:szCs w:val="24"/>
        </w:rPr>
      </w:pPr>
      <w:r>
        <w:rPr>
          <w:rFonts w:hint="eastAsia" w:asciiTheme="minorEastAsia" w:hAnsiTheme="minorEastAsia" w:eastAsiaTheme="minorEastAsia"/>
          <w:sz w:val="24"/>
          <w:szCs w:val="24"/>
        </w:rPr>
        <w:t xml:space="preserve">  3、</w:t>
      </w:r>
      <w:r>
        <w:rPr>
          <w:rFonts w:hint="eastAsia" w:asciiTheme="minorEastAsia" w:hAnsiTheme="minorEastAsia" w:eastAsiaTheme="minorEastAsia"/>
          <w:kern w:val="0"/>
          <w:sz w:val="24"/>
          <w:szCs w:val="24"/>
        </w:rPr>
        <w:t>保证金：竞价中标后，买受人交付的保证金自动转为履约保证金，待买受人将标的物清运工作完成,经委托人确认后，拍卖人则将保证金款项退还到买受人预留银行账户中。未成交者的保证金于结果公示期满7天且无异议后的5个工作日内全额无息退还到竞价人预留银行账户中。</w:t>
      </w:r>
    </w:p>
    <w:p>
      <w:pPr>
        <w:pStyle w:val="20"/>
        <w:ind w:firstLine="283" w:firstLineChars="118"/>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4、若在竞价过程中应价中标后又反悔者、签署《成交结果确认书》后未按约定支付成交款的，保证金不予退还，并依法追究法律责任。</w:t>
      </w:r>
    </w:p>
    <w:p>
      <w:pPr>
        <w:pStyle w:val="20"/>
        <w:spacing w:beforeLines="50" w:afterLines="50"/>
        <w:ind w:left="566" w:leftChars="136" w:hanging="280" w:hangingChars="117"/>
        <w:rPr>
          <w:rFonts w:asciiTheme="minorEastAsia" w:hAnsiTheme="minorEastAsia" w:eastAsiaTheme="minorEastAsia"/>
          <w:sz w:val="24"/>
          <w:szCs w:val="24"/>
        </w:rPr>
      </w:pPr>
      <w:r>
        <w:rPr>
          <w:rFonts w:hint="eastAsia" w:asciiTheme="minorEastAsia" w:hAnsiTheme="minorEastAsia" w:eastAsiaTheme="minorEastAsia"/>
          <w:sz w:val="24"/>
          <w:szCs w:val="24"/>
        </w:rPr>
        <w:t>第十条</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买受人的履约条款及特别约定：</w:t>
      </w:r>
    </w:p>
    <w:p>
      <w:pPr>
        <w:pStyle w:val="20"/>
        <w:spacing w:beforeLines="50" w:afterLines="50"/>
        <w:ind w:left="424" w:leftChars="202" w:firstLine="0" w:firstLineChars="0"/>
        <w:rPr>
          <w:rFonts w:asciiTheme="minorEastAsia" w:hAnsiTheme="minorEastAsia" w:eastAsiaTheme="minorEastAsia"/>
          <w:kern w:val="0"/>
          <w:sz w:val="24"/>
          <w:szCs w:val="24"/>
        </w:rPr>
      </w:pPr>
      <w:r>
        <w:rPr>
          <w:rFonts w:asciiTheme="minorEastAsia" w:hAnsiTheme="minorEastAsia" w:eastAsiaTheme="minorEastAsia"/>
          <w:kern w:val="0"/>
          <w:sz w:val="24"/>
          <w:szCs w:val="24"/>
        </w:rPr>
        <w:t>1</w:t>
      </w:r>
      <w:r>
        <w:rPr>
          <w:rFonts w:hint="eastAsia" w:asciiTheme="minorEastAsia" w:hAnsiTheme="minorEastAsia" w:eastAsiaTheme="minorEastAsia"/>
          <w:kern w:val="0"/>
          <w:sz w:val="24"/>
          <w:szCs w:val="24"/>
        </w:rPr>
        <w:t>、 标的实物以现场实际看样为准。</w:t>
      </w:r>
    </w:p>
    <w:p>
      <w:pPr>
        <w:pStyle w:val="20"/>
        <w:spacing w:beforeLines="50" w:afterLines="50"/>
        <w:ind w:left="424" w:leftChars="202" w:firstLine="0" w:firstLineChars="0"/>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2、买受人在标的成交后</w:t>
      </w:r>
      <w:r>
        <w:rPr>
          <w:rFonts w:hint="eastAsia" w:cs="Arial" w:asciiTheme="minorEastAsia" w:hAnsiTheme="minorEastAsia" w:eastAsiaTheme="minorEastAsia"/>
          <w:color w:val="000000"/>
          <w:kern w:val="0"/>
          <w:sz w:val="24"/>
          <w:lang w:val="en-US" w:eastAsia="zh-CN"/>
        </w:rPr>
        <w:t>7</w:t>
      </w:r>
      <w:r>
        <w:rPr>
          <w:rFonts w:hint="eastAsia" w:cs="Arial" w:asciiTheme="minorEastAsia" w:hAnsiTheme="minorEastAsia" w:eastAsiaTheme="minorEastAsia"/>
          <w:color w:val="000000"/>
          <w:kern w:val="0"/>
          <w:sz w:val="24"/>
        </w:rPr>
        <w:t>日内付清拍卖全款、佣金,且产生的搬运费、税费等均由买受人承担。</w:t>
      </w:r>
    </w:p>
    <w:p>
      <w:pPr>
        <w:pStyle w:val="20"/>
        <w:spacing w:beforeLines="50" w:afterLines="50"/>
        <w:ind w:left="424" w:leftChars="202" w:firstLine="0" w:firstLineChars="0"/>
        <w:rPr>
          <w:rFonts w:asciiTheme="minorEastAsia" w:hAnsiTheme="minorEastAsia" w:eastAsiaTheme="minorEastAsia"/>
          <w:kern w:val="0"/>
          <w:sz w:val="24"/>
          <w:szCs w:val="24"/>
        </w:rPr>
      </w:pPr>
      <w:r>
        <w:rPr>
          <w:rFonts w:hint="eastAsia" w:cs="Arial" w:asciiTheme="minorEastAsia" w:hAnsiTheme="minorEastAsia" w:eastAsiaTheme="minorEastAsia"/>
          <w:color w:val="000000"/>
          <w:kern w:val="0"/>
          <w:sz w:val="24"/>
        </w:rPr>
        <w:t>3、买受人应在中标结果公示期满7天后5个工作日内与委托人办理标的移交、搬运手续, 移交后所有风险责任及仓储、搬运等相关费用由买受人自行承担；</w:t>
      </w:r>
    </w:p>
    <w:p>
      <w:pPr>
        <w:pStyle w:val="20"/>
        <w:spacing w:beforeLines="50" w:afterLines="50"/>
        <w:ind w:left="424" w:leftChars="202" w:firstLine="0" w:firstLineChars="0"/>
        <w:rPr>
          <w:rFonts w:asciiTheme="minorEastAsia" w:hAnsiTheme="minorEastAsia" w:eastAsiaTheme="minorEastAsia"/>
          <w:color w:val="000000" w:themeColor="text1"/>
          <w:kern w:val="0"/>
          <w:sz w:val="24"/>
          <w:szCs w:val="24"/>
        </w:rPr>
      </w:pPr>
      <w:r>
        <w:rPr>
          <w:rFonts w:hint="eastAsia" w:cs="Arial" w:asciiTheme="minorEastAsia" w:hAnsiTheme="minorEastAsia" w:eastAsiaTheme="minorEastAsia"/>
          <w:color w:val="000000" w:themeColor="text1"/>
          <w:kern w:val="0"/>
          <w:sz w:val="24"/>
        </w:rPr>
        <w:t>4、印有“救灾专用”等字样及其标识的给予去除，均不得流入市场，买受人提货前需在委托人监督下销毁。一旦流入市场，买受人承担一切法律后果。</w:t>
      </w:r>
    </w:p>
    <w:p>
      <w:pPr>
        <w:pStyle w:val="20"/>
        <w:spacing w:beforeLines="50" w:afterLines="50"/>
        <w:ind w:left="120" w:leftChars="57" w:firstLine="163" w:firstLineChars="68"/>
        <w:rPr>
          <w:rFonts w:asciiTheme="minorEastAsia" w:hAnsiTheme="minorEastAsia" w:eastAsiaTheme="minorEastAsia"/>
          <w:sz w:val="24"/>
          <w:szCs w:val="24"/>
        </w:rPr>
      </w:pPr>
      <w:r>
        <w:rPr>
          <w:rFonts w:hint="eastAsia" w:asciiTheme="minorEastAsia" w:hAnsiTheme="minorEastAsia" w:eastAsiaTheme="minorEastAsia"/>
          <w:kern w:val="0"/>
          <w:sz w:val="24"/>
          <w:szCs w:val="24"/>
        </w:rPr>
        <w:t>第十一条</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发生下列情形之一的，拍卖师有权中止、终结竞价活动或在竞价活动结束后</w:t>
      </w:r>
      <w:r>
        <w:rPr>
          <w:rFonts w:hint="eastAsia" w:asciiTheme="minorEastAsia" w:hAnsiTheme="minorEastAsia" w:eastAsiaTheme="minorEastAsia"/>
          <w:sz w:val="24"/>
          <w:szCs w:val="24"/>
        </w:rPr>
        <w:t>宣布结果为无效：</w:t>
      </w:r>
      <w:r>
        <w:rPr>
          <w:rFonts w:asciiTheme="minorEastAsia" w:hAnsiTheme="minorEastAsia" w:eastAsiaTheme="minorEastAsia"/>
          <w:sz w:val="24"/>
          <w:szCs w:val="24"/>
        </w:rPr>
        <w:t xml:space="preserve"> </w:t>
      </w:r>
    </w:p>
    <w:p>
      <w:pPr>
        <w:pStyle w:val="20"/>
        <w:spacing w:beforeLines="50" w:afterLines="50"/>
        <w:ind w:firstLine="540" w:firstLineChars="225"/>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、系统服务器所处互联网络或中心网络出现故障的；</w:t>
      </w:r>
    </w:p>
    <w:p>
      <w:pPr>
        <w:pStyle w:val="20"/>
        <w:spacing w:beforeLines="50" w:afterLines="50"/>
        <w:ind w:firstLine="540" w:firstLineChars="225"/>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、系统服务器硬件或软件等出现故障的；</w:t>
      </w:r>
    </w:p>
    <w:p>
      <w:pPr>
        <w:pStyle w:val="20"/>
        <w:spacing w:beforeLines="50" w:afterLines="50"/>
        <w:ind w:firstLine="540" w:firstLineChars="225"/>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、包括但不限于标的权属不符、标的性状改变等原因而使竞价活动产生争议的；</w:t>
      </w:r>
    </w:p>
    <w:p>
      <w:pPr>
        <w:pStyle w:val="20"/>
        <w:spacing w:beforeLines="50" w:afterLines="50"/>
        <w:ind w:firstLine="540" w:firstLineChars="225"/>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、发现竞价标的存在违反法律法规、政府规章规定不得转让或应当中止转让的或发现竞价人竞价存在违法或违规情形可能会影响到竞价活动的公开、公平、公正进行的；</w:t>
      </w:r>
    </w:p>
    <w:p>
      <w:pPr>
        <w:pStyle w:val="20"/>
        <w:tabs>
          <w:tab w:val="left" w:pos="1560"/>
        </w:tabs>
        <w:spacing w:beforeLines="50" w:afterLines="50"/>
        <w:ind w:firstLine="600" w:firstLineChars="25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、其它拍卖人认为需要中止或终结竞价活动的情形。</w:t>
      </w:r>
    </w:p>
    <w:p>
      <w:pPr>
        <w:pStyle w:val="20"/>
        <w:spacing w:beforeLines="50" w:afterLines="50"/>
        <w:ind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第十二条</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竞价活动中止、终结或竞价结果为无效的，拍卖人可择期按其它公开、公平、公正的方式重新竞价，相关事宜将另行通知各竞价人。</w:t>
      </w:r>
    </w:p>
    <w:p>
      <w:pPr>
        <w:pStyle w:val="20"/>
        <w:spacing w:beforeLines="50" w:afterLines="50"/>
        <w:ind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第十三条</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乙方对自己竞价的系统用户名和密码安全负责，任何使用竞价人用户名、密码及验证码登录竞价系统的用户，在竞价系统中的一切行为均视为该竞价人本人的行为，由乙方自行负责。</w:t>
      </w:r>
    </w:p>
    <w:p>
      <w:pPr>
        <w:pStyle w:val="20"/>
        <w:spacing w:beforeLines="50" w:afterLines="50"/>
        <w:ind w:left="181" w:leftChars="86" w:firstLine="100" w:firstLineChars="42"/>
        <w:rPr>
          <w:rFonts w:asciiTheme="minorEastAsia" w:hAnsiTheme="minorEastAsia" w:eastAsiaTheme="minorEastAsia"/>
          <w:sz w:val="24"/>
          <w:szCs w:val="24"/>
        </w:rPr>
      </w:pPr>
      <w:r>
        <w:rPr>
          <w:rFonts w:hint="eastAsia" w:asciiTheme="minorEastAsia" w:hAnsiTheme="minorEastAsia" w:eastAsiaTheme="minorEastAsia"/>
          <w:sz w:val="24"/>
          <w:szCs w:val="24"/>
        </w:rPr>
        <w:t>第十四条</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因竞价人如下行为产生的一切后果，拍卖人不承担任何责任：</w:t>
      </w:r>
    </w:p>
    <w:p>
      <w:pPr>
        <w:pStyle w:val="20"/>
        <w:spacing w:beforeLines="50" w:afterLines="50"/>
        <w:ind w:firstLine="424" w:firstLineChars="177"/>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、所提交的信息不真实、不准确或不完整的；</w:t>
      </w:r>
    </w:p>
    <w:p>
      <w:pPr>
        <w:pStyle w:val="20"/>
        <w:spacing w:beforeLines="50" w:afterLines="50"/>
        <w:ind w:firstLine="424" w:firstLineChars="177"/>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、未及时关注拍卖人、委托人发布的竞价活动相关的公告，未及时登录系统参加竞价的；</w:t>
      </w:r>
    </w:p>
    <w:p>
      <w:pPr>
        <w:pStyle w:val="20"/>
        <w:tabs>
          <w:tab w:val="right" w:pos="10800"/>
        </w:tabs>
        <w:spacing w:beforeLines="50" w:afterLines="50"/>
        <w:ind w:firstLine="424" w:firstLineChars="177"/>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、竞价人因以下原因未能登录系统参加竞价的：</w:t>
      </w:r>
      <w:r>
        <w:rPr>
          <w:rFonts w:asciiTheme="minorEastAsia" w:hAnsiTheme="minorEastAsia" w:eastAsiaTheme="minorEastAsia"/>
          <w:sz w:val="24"/>
          <w:szCs w:val="24"/>
        </w:rPr>
        <w:tab/>
      </w:r>
    </w:p>
    <w:p>
      <w:pPr>
        <w:pStyle w:val="20"/>
        <w:spacing w:beforeLines="50" w:afterLines="50"/>
        <w:ind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1</w:t>
      </w:r>
      <w:r>
        <w:rPr>
          <w:rFonts w:hint="eastAsia" w:asciiTheme="minorEastAsia" w:hAnsiTheme="minorEastAsia" w:eastAsiaTheme="minorEastAsia"/>
          <w:sz w:val="24"/>
          <w:szCs w:val="24"/>
        </w:rPr>
        <w:t>）自身报价终端设备故障和互联网络异常；</w:t>
      </w:r>
    </w:p>
    <w:p>
      <w:pPr>
        <w:pStyle w:val="20"/>
        <w:spacing w:beforeLines="50" w:afterLines="50"/>
        <w:ind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(2)</w:t>
      </w:r>
      <w:r>
        <w:rPr>
          <w:rFonts w:hint="eastAsia" w:asciiTheme="minorEastAsia" w:hAnsiTheme="minorEastAsia" w:eastAsiaTheme="minorEastAsia"/>
          <w:sz w:val="24"/>
          <w:szCs w:val="24"/>
        </w:rPr>
        <w:t>自身通信设备故障；</w:t>
      </w:r>
    </w:p>
    <w:p>
      <w:pPr>
        <w:pStyle w:val="20"/>
        <w:spacing w:beforeLines="50" w:afterLines="50"/>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(3)</w:t>
      </w:r>
      <w:r>
        <w:rPr>
          <w:rFonts w:hint="eastAsia" w:asciiTheme="minorEastAsia" w:hAnsiTheme="minorEastAsia" w:eastAsiaTheme="minorEastAsia"/>
          <w:sz w:val="24"/>
          <w:szCs w:val="24"/>
        </w:rPr>
        <w:t>移动通信运营商与用户之间的通信故障导致用户未能及时接收系统短信验证码。</w:t>
      </w:r>
    </w:p>
    <w:p>
      <w:pPr>
        <w:pStyle w:val="20"/>
        <w:spacing w:beforeLines="50" w:afterLines="50"/>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hint="eastAsia" w:asciiTheme="minorEastAsia" w:hAnsiTheme="minorEastAsia" w:eastAsiaTheme="minorEastAsia"/>
          <w:bCs/>
          <w:sz w:val="24"/>
          <w:szCs w:val="24"/>
        </w:rPr>
        <w:t>竞价人自身终端设备时间与竞价系统服务器不符的（竞价活动的时间以竞价系统服务器时间为准）。</w:t>
      </w:r>
    </w:p>
    <w:p>
      <w:pPr>
        <w:adjustRightInd w:val="0"/>
        <w:snapToGrid w:val="0"/>
        <w:spacing w:line="400" w:lineRule="exact"/>
        <w:ind w:left="286" w:leftChars="136" w:right="-286" w:rightChars="-136"/>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第十五条 甲方的提示和说明：</w:t>
      </w:r>
    </w:p>
    <w:p>
      <w:pPr>
        <w:numPr>
          <w:ilvl w:val="0"/>
          <w:numId w:val="1"/>
        </w:numPr>
        <w:tabs>
          <w:tab w:val="left" w:pos="0"/>
          <w:tab w:val="clear" w:pos="425"/>
        </w:tabs>
        <w:adjustRightInd w:val="0"/>
        <w:snapToGrid w:val="0"/>
        <w:spacing w:line="400" w:lineRule="exact"/>
        <w:ind w:left="0" w:right="-286" w:rightChars="-136" w:firstLine="422" w:firstLineChars="176"/>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甲方提示乙方，乙方应对本次竞价的标的作充分了解和必要价值判断，对自己的竞买行为负责，甲方提供的竞价资料和工作人员的介绍及评价均为参考性意见，不构成对</w:t>
      </w:r>
      <w:r>
        <w:rPr>
          <w:rFonts w:hint="eastAsia" w:asciiTheme="minorEastAsia" w:hAnsiTheme="minorEastAsia" w:eastAsiaTheme="minorEastAsia"/>
          <w:sz w:val="24"/>
          <w:szCs w:val="24"/>
          <w:shd w:val="clear" w:color="auto" w:fill="FFFFFF"/>
        </w:rPr>
        <w:t>竞价标的</w:t>
      </w:r>
      <w:r>
        <w:rPr>
          <w:rFonts w:hint="eastAsia" w:cs="仿宋_GB2312" w:asciiTheme="minorEastAsia" w:hAnsiTheme="minorEastAsia" w:eastAsiaTheme="minorEastAsia"/>
          <w:sz w:val="24"/>
          <w:szCs w:val="24"/>
          <w:shd w:val="clear" w:color="auto" w:fill="FFFFFF"/>
        </w:rPr>
        <w:t>的任何保证。乙方不得以此为借口，作为竞价后反悔的理由，不得要求委托方和甲方修改竞价成交确认书、退回竞价成交款及交易手续费或要求委托方和甲方给予经济赔偿。竞价标的情况以现状察看为准，有关标的资料是对标的的一般性介绍，仅为参考性说明，不构成对标的的担保，也不具任何法律效力。标的的任何瑕疵及风险等不影响成交结果。</w:t>
      </w:r>
    </w:p>
    <w:p>
      <w:pPr>
        <w:numPr>
          <w:ilvl w:val="0"/>
          <w:numId w:val="1"/>
        </w:numPr>
        <w:tabs>
          <w:tab w:val="left" w:pos="0"/>
          <w:tab w:val="clear" w:pos="425"/>
        </w:tabs>
        <w:adjustRightInd w:val="0"/>
        <w:snapToGrid w:val="0"/>
        <w:spacing w:line="400" w:lineRule="exact"/>
        <w:ind w:left="0" w:right="-286" w:rightChars="-136" w:firstLine="422" w:firstLineChars="176"/>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甲方提示乙方，与该竞价标的有关数据资料以委托方提供的相关资料内容为准，由于委托方提供的相关资料不实给乙方造成损失的，甲方不承担任何责任。</w:t>
      </w:r>
    </w:p>
    <w:p>
      <w:pPr>
        <w:tabs>
          <w:tab w:val="left" w:pos="0"/>
        </w:tabs>
        <w:adjustRightInd w:val="0"/>
        <w:snapToGrid w:val="0"/>
        <w:spacing w:line="400" w:lineRule="exact"/>
        <w:ind w:right="-286" w:rightChars="-136"/>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 xml:space="preserve">   3.  甲方提示乙方，乙方应对竞价会当中自己的应价行为负责，一经应价即为有效，不得以任何理由（包括但不仅限于：其他竞价人是否具备竞买资格、其他竞价人的应价是否对乙方的应价造成影响等）对抗自己应价的法律效果。</w:t>
      </w:r>
    </w:p>
    <w:p>
      <w:pPr>
        <w:tabs>
          <w:tab w:val="left" w:pos="0"/>
        </w:tabs>
        <w:adjustRightInd w:val="0"/>
        <w:snapToGrid w:val="0"/>
        <w:spacing w:line="400" w:lineRule="exact"/>
        <w:ind w:left="2" w:right="-286" w:rightChars="-136"/>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 xml:space="preserve">   4.  甲方提示乙方，乙方应如实提供背景资料，倘若因乙方提供不实资料，进行虚假陈述，隐瞒事实真相，导致竞价成交后，被有权机构撤消竞价结果或竞价结果不被确认，或竞价标的无法办理登记手续，乙方将按其做出的承诺和保证，自行承担相应的法律责任及后果。</w:t>
      </w:r>
    </w:p>
    <w:p>
      <w:pPr>
        <w:adjustRightInd w:val="0"/>
        <w:snapToGrid w:val="0"/>
        <w:spacing w:line="400" w:lineRule="exact"/>
        <w:ind w:left="845" w:leftChars="136" w:right="-286" w:rightChars="-136" w:hanging="559" w:hangingChars="233"/>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第十六条 乙方的陈述和保证：</w:t>
      </w:r>
    </w:p>
    <w:p>
      <w:pPr>
        <w:tabs>
          <w:tab w:val="left" w:pos="0"/>
        </w:tabs>
        <w:adjustRightInd w:val="0"/>
        <w:snapToGrid w:val="0"/>
        <w:spacing w:line="400" w:lineRule="exact"/>
        <w:ind w:left="2" w:right="-286" w:rightChars="-136"/>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 xml:space="preserve">   1.  乙方已对前述标的已进行了现场看样，根据自己的判断做出了充分的了解和价值判断。乙方是在完全了解与该竞价标的有关的一切信息后（包括但不仅限于该标的数量、质量、破损程度等信息），自愿参加竞买的。由此产生的一切后果由乙方承担。</w:t>
      </w:r>
    </w:p>
    <w:p>
      <w:pPr>
        <w:tabs>
          <w:tab w:val="left" w:pos="0"/>
        </w:tabs>
        <w:adjustRightInd w:val="0"/>
        <w:snapToGrid w:val="0"/>
        <w:spacing w:line="400" w:lineRule="exact"/>
        <w:ind w:right="-286" w:rightChars="-136"/>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 xml:space="preserve">   2.  乙方参加前述标的竞买，提供的所有背景资料，公允地揭示了乙方的基本情况并符合本次竞价所要求的参加竞买的条件，所有资料真实有效，且未作任何虚假陈述或隐瞒。并无条件接受相关单位（包括政府部门、竞价委托方、资产占有方）对其背景资料的审查结果，不对该结果提出任何形式的抗辩。</w:t>
      </w:r>
    </w:p>
    <w:p>
      <w:pPr>
        <w:tabs>
          <w:tab w:val="left" w:pos="0"/>
        </w:tabs>
        <w:adjustRightInd w:val="0"/>
        <w:snapToGrid w:val="0"/>
        <w:spacing w:line="400" w:lineRule="exact"/>
        <w:ind w:right="-286" w:rightChars="-136"/>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 xml:space="preserve">   3.  乙方不在自己的竞买范围内应价而应价的，自愿承担全部违约责任并赔偿由此给甲方以及其他利益相关者的一切损失（包括但不仅限于因本竞价人此种行为而给甲方造成的直接损失，因诉诸法律而发生的所有诉讼费、律师费、差旅费、误工费等费用），并放弃追回本竞价人已缴纳的竞买保证金。</w:t>
      </w:r>
    </w:p>
    <w:p>
      <w:pPr>
        <w:tabs>
          <w:tab w:val="left" w:pos="0"/>
        </w:tabs>
        <w:adjustRightInd w:val="0"/>
        <w:snapToGrid w:val="0"/>
        <w:spacing w:line="400" w:lineRule="exact"/>
        <w:ind w:right="-286" w:rightChars="-136"/>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 xml:space="preserve">   4.  乙方提供的所有资料真实有效，倘若乙方提供的资料弄虚作假（包括但不仅限于提供虚假身份证明或营业执照、伪造委托书、伪造签名、不亲自举牌应价等）、不实或引起重大误解或有隐瞒，无论乙方是否故意，均自行承担以下可能发生的后果或承担以下相关责任（包括全部、部分或任一）：</w:t>
      </w:r>
    </w:p>
    <w:p>
      <w:pPr>
        <w:adjustRightInd w:val="0"/>
        <w:snapToGrid w:val="0"/>
        <w:spacing w:line="400" w:lineRule="exact"/>
        <w:ind w:left="283" w:leftChars="135" w:right="-286" w:rightChars="-136"/>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w:t>
      </w:r>
      <w:r>
        <w:rPr>
          <w:rFonts w:cs="仿宋_GB2312" w:asciiTheme="minorEastAsia" w:hAnsiTheme="minorEastAsia" w:eastAsiaTheme="minorEastAsia"/>
          <w:sz w:val="24"/>
          <w:szCs w:val="24"/>
          <w:shd w:val="clear" w:color="auto" w:fill="FFFFFF"/>
        </w:rPr>
        <w:t>1</w:t>
      </w:r>
      <w:r>
        <w:rPr>
          <w:rFonts w:hint="eastAsia" w:cs="仿宋_GB2312" w:asciiTheme="minorEastAsia" w:hAnsiTheme="minorEastAsia" w:eastAsiaTheme="minorEastAsia"/>
          <w:sz w:val="24"/>
          <w:szCs w:val="24"/>
          <w:shd w:val="clear" w:color="auto" w:fill="FFFFFF"/>
        </w:rPr>
        <w:t>）乙方竞买成功后并成为前述标的买受人，但被有权机构拒绝办理前述标的的移交手续的；</w:t>
      </w:r>
    </w:p>
    <w:p>
      <w:pPr>
        <w:adjustRightInd w:val="0"/>
        <w:snapToGrid w:val="0"/>
        <w:spacing w:line="400" w:lineRule="exact"/>
        <w:ind w:left="283" w:leftChars="135" w:right="-286" w:rightChars="-136"/>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w:t>
      </w:r>
      <w:r>
        <w:rPr>
          <w:rFonts w:cs="仿宋_GB2312" w:asciiTheme="minorEastAsia" w:hAnsiTheme="minorEastAsia" w:eastAsiaTheme="minorEastAsia"/>
          <w:sz w:val="24"/>
          <w:szCs w:val="24"/>
          <w:shd w:val="clear" w:color="auto" w:fill="FFFFFF"/>
        </w:rPr>
        <w:t>2</w:t>
      </w:r>
      <w:r>
        <w:rPr>
          <w:rFonts w:hint="eastAsia" w:cs="仿宋_GB2312" w:asciiTheme="minorEastAsia" w:hAnsiTheme="minorEastAsia" w:eastAsiaTheme="minorEastAsia"/>
          <w:sz w:val="24"/>
          <w:szCs w:val="24"/>
          <w:shd w:val="clear" w:color="auto" w:fill="FFFFFF"/>
        </w:rPr>
        <w:t>）被取消竞价人或买受人资格，或买受人资格不被确认或确认后被撤消的；</w:t>
      </w:r>
    </w:p>
    <w:p>
      <w:pPr>
        <w:adjustRightInd w:val="0"/>
        <w:snapToGrid w:val="0"/>
        <w:spacing w:line="400" w:lineRule="exact"/>
        <w:ind w:left="283" w:leftChars="135" w:right="-286" w:rightChars="-136"/>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w:t>
      </w:r>
      <w:r>
        <w:rPr>
          <w:rFonts w:cs="仿宋_GB2312" w:asciiTheme="minorEastAsia" w:hAnsiTheme="minorEastAsia" w:eastAsiaTheme="minorEastAsia"/>
          <w:sz w:val="24"/>
          <w:szCs w:val="24"/>
          <w:shd w:val="clear" w:color="auto" w:fill="FFFFFF"/>
        </w:rPr>
        <w:t>3</w:t>
      </w:r>
      <w:r>
        <w:rPr>
          <w:rFonts w:hint="eastAsia" w:cs="仿宋_GB2312" w:asciiTheme="minorEastAsia" w:hAnsiTheme="minorEastAsia" w:eastAsiaTheme="minorEastAsia"/>
          <w:sz w:val="24"/>
          <w:szCs w:val="24"/>
          <w:shd w:val="clear" w:color="auto" w:fill="FFFFFF"/>
        </w:rPr>
        <w:t>）拍卖人有权不予返还竞买保证金或履约保证金；</w:t>
      </w:r>
    </w:p>
    <w:p>
      <w:pPr>
        <w:adjustRightInd w:val="0"/>
        <w:snapToGrid w:val="0"/>
        <w:spacing w:line="400" w:lineRule="exact"/>
        <w:ind w:right="-286" w:rightChars="-136"/>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 xml:space="preserve">   （</w:t>
      </w:r>
      <w:r>
        <w:rPr>
          <w:rFonts w:cs="仿宋_GB2312" w:asciiTheme="minorEastAsia" w:hAnsiTheme="minorEastAsia" w:eastAsiaTheme="minorEastAsia"/>
          <w:sz w:val="24"/>
          <w:szCs w:val="24"/>
          <w:shd w:val="clear" w:color="auto" w:fill="FFFFFF"/>
        </w:rPr>
        <w:t>4</w:t>
      </w:r>
      <w:r>
        <w:rPr>
          <w:rFonts w:hint="eastAsia" w:cs="仿宋_GB2312" w:asciiTheme="minorEastAsia" w:hAnsiTheme="minorEastAsia" w:eastAsiaTheme="minorEastAsia"/>
          <w:sz w:val="24"/>
          <w:szCs w:val="24"/>
          <w:shd w:val="clear" w:color="auto" w:fill="FFFFFF"/>
        </w:rPr>
        <w:t>）保证金外的已付款项，拍卖人有权要求用于赔偿各种损失（包括因乙方背信违约，导致债务迟延而增加的债务金额，以及前述标的竞价的各项运作费用等）；</w:t>
      </w:r>
    </w:p>
    <w:p>
      <w:pPr>
        <w:adjustRightInd w:val="0"/>
        <w:snapToGrid w:val="0"/>
        <w:spacing w:line="400" w:lineRule="exact"/>
        <w:ind w:left="424" w:leftChars="202" w:right="-286" w:rightChars="-136"/>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w:t>
      </w:r>
      <w:r>
        <w:rPr>
          <w:rFonts w:cs="仿宋_GB2312" w:asciiTheme="minorEastAsia" w:hAnsiTheme="minorEastAsia" w:eastAsiaTheme="minorEastAsia"/>
          <w:sz w:val="24"/>
          <w:szCs w:val="24"/>
          <w:shd w:val="clear" w:color="auto" w:fill="FFFFFF"/>
        </w:rPr>
        <w:t>5</w:t>
      </w:r>
      <w:r>
        <w:rPr>
          <w:rFonts w:hint="eastAsia" w:cs="仿宋_GB2312" w:asciiTheme="minorEastAsia" w:hAnsiTheme="minorEastAsia" w:eastAsiaTheme="minorEastAsia"/>
          <w:sz w:val="24"/>
          <w:szCs w:val="24"/>
          <w:shd w:val="clear" w:color="auto" w:fill="FFFFFF"/>
        </w:rPr>
        <w:t>）拍卖人或其它相关方有权取消乙方买受人资格，前述标的重新交付竞价，拍卖人或其它有权机关还有权要求赔偿两次竞价之间的差价；</w:t>
      </w:r>
    </w:p>
    <w:p>
      <w:pPr>
        <w:adjustRightInd w:val="0"/>
        <w:snapToGrid w:val="0"/>
        <w:spacing w:line="400" w:lineRule="exact"/>
        <w:ind w:left="424" w:leftChars="202" w:right="-286" w:rightChars="-136"/>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w:t>
      </w:r>
      <w:r>
        <w:rPr>
          <w:rFonts w:cs="仿宋_GB2312" w:asciiTheme="minorEastAsia" w:hAnsiTheme="minorEastAsia" w:eastAsiaTheme="minorEastAsia"/>
          <w:sz w:val="24"/>
          <w:szCs w:val="24"/>
          <w:shd w:val="clear" w:color="auto" w:fill="FFFFFF"/>
        </w:rPr>
        <w:t>6</w:t>
      </w:r>
      <w:r>
        <w:rPr>
          <w:rFonts w:hint="eastAsia" w:cs="仿宋_GB2312" w:asciiTheme="minorEastAsia" w:hAnsiTheme="minorEastAsia" w:eastAsiaTheme="minorEastAsia"/>
          <w:sz w:val="24"/>
          <w:szCs w:val="24"/>
          <w:shd w:val="clear" w:color="auto" w:fill="FFFFFF"/>
        </w:rPr>
        <w:t>）因诉诸法律而发生的所有费用；</w:t>
      </w:r>
    </w:p>
    <w:p>
      <w:pPr>
        <w:adjustRightInd w:val="0"/>
        <w:snapToGrid w:val="0"/>
        <w:spacing w:line="400" w:lineRule="exact"/>
        <w:ind w:left="424" w:leftChars="202" w:right="-286" w:rightChars="-136"/>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w:t>
      </w:r>
      <w:r>
        <w:rPr>
          <w:rFonts w:cs="仿宋_GB2312" w:asciiTheme="minorEastAsia" w:hAnsiTheme="minorEastAsia" w:eastAsiaTheme="minorEastAsia"/>
          <w:sz w:val="24"/>
          <w:szCs w:val="24"/>
          <w:shd w:val="clear" w:color="auto" w:fill="FFFFFF"/>
        </w:rPr>
        <w:t>7</w:t>
      </w:r>
      <w:r>
        <w:rPr>
          <w:rFonts w:hint="eastAsia" w:cs="仿宋_GB2312" w:asciiTheme="minorEastAsia" w:hAnsiTheme="minorEastAsia" w:eastAsiaTheme="minorEastAsia"/>
          <w:sz w:val="24"/>
          <w:szCs w:val="24"/>
          <w:shd w:val="clear" w:color="auto" w:fill="FFFFFF"/>
        </w:rPr>
        <w:t>）因背信违约，竞价委托方、资产所有人、拍卖人主张的其它权利导致的责任；</w:t>
      </w:r>
    </w:p>
    <w:p>
      <w:pPr>
        <w:tabs>
          <w:tab w:val="left" w:pos="0"/>
        </w:tabs>
        <w:adjustRightInd w:val="0"/>
        <w:snapToGrid w:val="0"/>
        <w:spacing w:line="400" w:lineRule="exact"/>
        <w:ind w:right="-286" w:rightChars="-136"/>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 xml:space="preserve">    1.  乙方或授权委托人确认，在本协议书签订之前，已经充分了解竞价标的物的有关情况，对网络竞价协议已理解并接受。同时，乙方或授权委托人确认，在竞价会召开之前对所参加竞价标的现状等已作充分了解。</w:t>
      </w:r>
    </w:p>
    <w:p>
      <w:pPr>
        <w:tabs>
          <w:tab w:val="left" w:pos="0"/>
        </w:tabs>
        <w:adjustRightInd w:val="0"/>
        <w:snapToGrid w:val="0"/>
        <w:spacing w:line="400" w:lineRule="exact"/>
        <w:ind w:right="-286" w:rightChars="-136"/>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 xml:space="preserve">    2.  在本协议签订之前，甲方已向乙方或授权委托人详实告知标的各种情况，并已对标的物的现状，以及可能存在的其它风险作了重点提示。鉴于此，乙方声明，放弃包括以重大误解或显失公平为由，向甲方提出的诉讼和索赔请求。</w:t>
      </w:r>
    </w:p>
    <w:p>
      <w:pPr>
        <w:tabs>
          <w:tab w:val="left" w:pos="0"/>
        </w:tabs>
        <w:adjustRightInd w:val="0"/>
        <w:snapToGrid w:val="0"/>
        <w:spacing w:line="400" w:lineRule="exact"/>
        <w:ind w:right="-286" w:rightChars="-136"/>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 xml:space="preserve">    3.  以上陈述和保证均系乙方的真实意思表示。乙方保证将严格遵守上述第十七条款甲方的提示和说明内的所有条款，若乙方违反第十八条款的任何约定，乙方自愿放弃追回已缴纳的竞买保证金，并不以任何理由对甲方提起诉讼。但甲方可以就乙方的违约行为向甲方所在地的人民法院提起诉讼，乙方同时承诺，自愿承担甲方因诉诸法律而发生的所有诉讼费、律师费、差旅费、误工费等一切费用。</w:t>
      </w:r>
    </w:p>
    <w:p>
      <w:pPr>
        <w:tabs>
          <w:tab w:val="left" w:pos="0"/>
        </w:tabs>
        <w:adjustRightInd w:val="0"/>
        <w:snapToGrid w:val="0"/>
        <w:spacing w:line="400" w:lineRule="exact"/>
        <w:ind w:right="-286" w:rightChars="-136"/>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 xml:space="preserve">    4.  竞价成交后乙方与甲方签订的《成交结果确认书》与本《网络竞价协议》具有同等法律效力。</w:t>
      </w:r>
    </w:p>
    <w:p>
      <w:pPr>
        <w:tabs>
          <w:tab w:val="left" w:pos="0"/>
        </w:tabs>
        <w:adjustRightInd w:val="0"/>
        <w:snapToGrid w:val="0"/>
        <w:spacing w:line="400" w:lineRule="exact"/>
        <w:ind w:left="424" w:right="-286" w:rightChars="-136"/>
        <w:rPr>
          <w:rFonts w:asciiTheme="minorEastAsia" w:hAnsiTheme="minorEastAsia" w:eastAsiaTheme="minorEastAsia"/>
          <w:sz w:val="24"/>
          <w:szCs w:val="24"/>
        </w:rPr>
      </w:pPr>
      <w:r>
        <w:rPr>
          <w:rFonts w:hint="eastAsia" w:cs="仿宋_GB2312" w:asciiTheme="minorEastAsia" w:hAnsiTheme="minorEastAsia" w:eastAsiaTheme="minorEastAsia"/>
          <w:sz w:val="24"/>
          <w:szCs w:val="24"/>
          <w:shd w:val="clear" w:color="auto" w:fill="FFFFFF"/>
        </w:rPr>
        <w:t xml:space="preserve"> 5.  若该标的被委托机构依法撤销竞价或执行回转，乙方应无条件服从和积极配合。</w:t>
      </w:r>
    </w:p>
    <w:p>
      <w:pPr>
        <w:tabs>
          <w:tab w:val="left" w:pos="0"/>
        </w:tabs>
        <w:adjustRightInd w:val="0"/>
        <w:snapToGrid w:val="0"/>
        <w:spacing w:line="400" w:lineRule="exact"/>
        <w:ind w:right="-286" w:rightChars="-136" w:firstLine="141" w:firstLineChars="59"/>
        <w:rPr>
          <w:rFonts w:asciiTheme="minorEastAsia" w:hAnsiTheme="minorEastAsia" w:eastAsiaTheme="minorEastAsia"/>
          <w:sz w:val="24"/>
          <w:szCs w:val="24"/>
        </w:rPr>
      </w:pPr>
      <w:r>
        <w:rPr>
          <w:rFonts w:hint="eastAsia" w:asciiTheme="minorEastAsia" w:hAnsiTheme="minorEastAsia" w:eastAsiaTheme="minorEastAsia"/>
          <w:sz w:val="24"/>
          <w:szCs w:val="24"/>
        </w:rPr>
        <w:t>第十七条违约责任：</w:t>
      </w:r>
    </w:p>
    <w:p>
      <w:pPr>
        <w:tabs>
          <w:tab w:val="left" w:pos="0"/>
        </w:tabs>
        <w:adjustRightInd w:val="0"/>
        <w:snapToGrid w:val="0"/>
        <w:spacing w:line="400" w:lineRule="exact"/>
        <w:ind w:right="-286" w:rightChars="-136"/>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1.  乙方在竞价会开始前，威胁、辱骂、恐吓其他竞价人以及有恶意串通、操纵、垄断等行为的，一经发现，乙方所缴纳的竞买保证金不予以返还。</w:t>
      </w:r>
    </w:p>
    <w:p>
      <w:pPr>
        <w:tabs>
          <w:tab w:val="left" w:pos="0"/>
        </w:tabs>
        <w:adjustRightInd w:val="0"/>
        <w:snapToGrid w:val="0"/>
        <w:spacing w:line="400" w:lineRule="exact"/>
        <w:ind w:right="-286" w:rightChars="-136"/>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  乙方提供的资料弄虚作假（包括但不仅限于提供虚假身份证明或营业执照、伪造委托书、伪造签名、让其他人代替自己签名等），一经发现，乙方所缴纳的竞买保证金将不予以返还并追究乙方由此产生的一切法律责任。</w:t>
      </w:r>
    </w:p>
    <w:p>
      <w:pPr>
        <w:tabs>
          <w:tab w:val="left" w:pos="0"/>
        </w:tabs>
        <w:adjustRightInd w:val="0"/>
        <w:snapToGrid w:val="0"/>
        <w:spacing w:line="400" w:lineRule="exact"/>
        <w:ind w:right="-286" w:rightChars="-136"/>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3.  买受人未按本协议规定的时间履行签约义务的，不影响买受人与委托人之间合同的成立，拍卖人除有权不予退还竞价人已经缴交的竞买保证金外，还有权将标的物再行拍卖。并根据《拍卖法》第三十九条规定执行：“买受人应当按照约定支付竞价标的的价款，未按照约定支付价款的，应当承担违约责任，或者由拍卖人征得委托人的同意，将竞价标的再行竞价。竞价标的再行竞价的，原买受人应当支付第一次竞价中本人及委托人应当支付的佣金。再行竞价的价款低于原竞价价款的，原买受人应当补足差额”。竞买保证金优先补偿甲方的佣金，剩余部分交由委托方处理。如委托方同意乙方继续履行付款义务的，每迟延一日付款，乙方应向甲方支付应付款项的千分之五作为滞纳金。如委托方拒绝乙方继续履行付款义务的，乙方所交款项不予退还，经委托方同意甲方有权再次竞价标的。</w:t>
      </w:r>
    </w:p>
    <w:p>
      <w:pPr>
        <w:tabs>
          <w:tab w:val="left" w:pos="0"/>
        </w:tabs>
        <w:adjustRightInd w:val="0"/>
        <w:snapToGrid w:val="0"/>
        <w:spacing w:line="400" w:lineRule="exact"/>
        <w:ind w:right="-286" w:rightChars="-136"/>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4.  乙方中标后3个工作日不与甲方签署《</w:t>
      </w:r>
      <w:r>
        <w:rPr>
          <w:rFonts w:hint="eastAsia" w:cs="仿宋_GB2312" w:asciiTheme="minorEastAsia" w:hAnsiTheme="minorEastAsia" w:eastAsiaTheme="minorEastAsia"/>
          <w:sz w:val="24"/>
          <w:szCs w:val="24"/>
          <w:shd w:val="clear" w:color="auto" w:fill="FFFFFF"/>
        </w:rPr>
        <w:t>成交结果确认书</w:t>
      </w:r>
      <w:r>
        <w:rPr>
          <w:rFonts w:hint="eastAsia" w:asciiTheme="minorEastAsia" w:hAnsiTheme="minorEastAsia" w:eastAsiaTheme="minorEastAsia"/>
          <w:sz w:val="24"/>
          <w:szCs w:val="24"/>
        </w:rPr>
        <w:t>》，或签署《</w:t>
      </w:r>
      <w:r>
        <w:rPr>
          <w:rFonts w:hint="eastAsia" w:cs="仿宋_GB2312" w:asciiTheme="minorEastAsia" w:hAnsiTheme="minorEastAsia" w:eastAsiaTheme="minorEastAsia"/>
          <w:sz w:val="24"/>
          <w:szCs w:val="24"/>
          <w:shd w:val="clear" w:color="auto" w:fill="FFFFFF"/>
        </w:rPr>
        <w:t>成交结果确认书</w:t>
      </w:r>
      <w:r>
        <w:rPr>
          <w:rFonts w:hint="eastAsia" w:asciiTheme="minorEastAsia" w:hAnsiTheme="minorEastAsia" w:eastAsiaTheme="minorEastAsia"/>
          <w:sz w:val="24"/>
          <w:szCs w:val="24"/>
        </w:rPr>
        <w:t>》并在公示期7天满后5个工作日内不与委托人移交标的物的，委托人有权单方面解除合同，将交易标的重新竞价，并按前述规定追究该买受人的相应民事责任。</w:t>
      </w:r>
    </w:p>
    <w:p>
      <w:pPr>
        <w:tabs>
          <w:tab w:val="left" w:pos="0"/>
        </w:tabs>
        <w:adjustRightInd w:val="0"/>
        <w:snapToGrid w:val="0"/>
        <w:spacing w:line="400" w:lineRule="exact"/>
        <w:ind w:right="-286" w:rightChars="-136"/>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5. 如乙方出现中标竞价后拒绝移交标的物的，没收竞价保证金以外还要追究相应的损失。</w:t>
      </w:r>
    </w:p>
    <w:p>
      <w:pPr>
        <w:pStyle w:val="20"/>
        <w:spacing w:beforeLines="50" w:afterLines="50"/>
        <w:ind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第十八条</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因委托人披露的标的权属不清或瑕疵及其它争议所引起的责任与拍卖人无关；交易双方因履约等引起的纠纷由交易双方协商解决或依合同的约定解决。</w:t>
      </w:r>
    </w:p>
    <w:p>
      <w:pPr>
        <w:pStyle w:val="20"/>
        <w:spacing w:beforeLines="50" w:afterLines="50"/>
        <w:ind w:firstLine="284"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第十九条</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竞价人确定在签署本协议前已详细了解了本次竞价标的的有关事宜。因交易所发生的变更、报批等手续由交易双方办理，风险及费用由交易双方自行承担。</w:t>
      </w:r>
    </w:p>
    <w:p>
      <w:pPr>
        <w:pStyle w:val="20"/>
        <w:spacing w:beforeLines="50" w:afterLines="50"/>
        <w:ind w:firstLine="284"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第二十条</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如遇突发事件，根据现有的网络竞价协议不能解决时，在不违反公平、公正、公开的原则下，拍卖人应暂时中止竞价活动，与委托人协商后做出临时处理决定后再行恢复竞价，该共同决议的临时处理决定与本协议具有同等效力。</w:t>
      </w:r>
    </w:p>
    <w:p>
      <w:pPr>
        <w:pStyle w:val="20"/>
        <w:spacing w:beforeLines="50" w:afterLines="50"/>
        <w:ind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第二十一条</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拍卖人对本协议及未尽事宜拥有最终解释权。</w:t>
      </w:r>
    </w:p>
    <w:p>
      <w:pPr>
        <w:pStyle w:val="20"/>
        <w:spacing w:beforeLines="50" w:afterLines="50"/>
        <w:ind w:firstLine="283" w:firstLineChars="118"/>
        <w:rPr>
          <w:rFonts w:asciiTheme="minorEastAsia" w:hAnsiTheme="minorEastAsia" w:eastAsiaTheme="minorEastAsia"/>
          <w:sz w:val="24"/>
          <w:szCs w:val="24"/>
        </w:rPr>
      </w:pPr>
    </w:p>
    <w:p>
      <w:pPr>
        <w:pStyle w:val="20"/>
        <w:spacing w:beforeLines="50" w:afterLines="50"/>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附件：1</w:t>
      </w:r>
      <w:r>
        <w:rPr>
          <w:rFonts w:asciiTheme="minorEastAsia" w:hAnsiTheme="minorEastAsia" w:eastAsiaTheme="minorEastAsia"/>
          <w:sz w:val="24"/>
          <w:szCs w:val="24"/>
        </w:rPr>
        <w:t>.</w:t>
      </w:r>
      <w:r>
        <w:rPr>
          <w:rFonts w:hint="eastAsia" w:asciiTheme="minorEastAsia" w:hAnsiTheme="minorEastAsia" w:eastAsiaTheme="minorEastAsia"/>
          <w:sz w:val="24"/>
          <w:szCs w:val="24"/>
        </w:rPr>
        <w:t>《竞价清单》</w:t>
      </w:r>
    </w:p>
    <w:p>
      <w:pPr>
        <w:pStyle w:val="20"/>
        <w:spacing w:beforeLines="50" w:afterLines="50"/>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hint="eastAsia" w:asciiTheme="minorEastAsia" w:hAnsiTheme="minorEastAsia" w:eastAsiaTheme="minorEastAsia"/>
          <w:bCs/>
          <w:color w:val="000000"/>
          <w:sz w:val="24"/>
          <w:szCs w:val="24"/>
        </w:rPr>
        <w:t>成交结果确认书</w:t>
      </w:r>
      <w:r>
        <w:rPr>
          <w:rFonts w:hint="eastAsia" w:asciiTheme="minorEastAsia" w:hAnsiTheme="minorEastAsia" w:eastAsiaTheme="minorEastAsia"/>
          <w:sz w:val="24"/>
          <w:szCs w:val="24"/>
        </w:rPr>
        <w:t>》（样本）</w:t>
      </w:r>
      <w:r>
        <w:rPr>
          <w:rFonts w:asciiTheme="minorEastAsia" w:hAnsiTheme="minorEastAsia" w:eastAsiaTheme="minorEastAsia"/>
          <w:sz w:val="24"/>
          <w:szCs w:val="24"/>
        </w:rPr>
        <w:t xml:space="preserve"> </w:t>
      </w:r>
    </w:p>
    <w:p>
      <w:pPr>
        <w:spacing w:line="480" w:lineRule="auto"/>
        <w:rPr>
          <w:rFonts w:asciiTheme="minorEastAsia" w:hAnsiTheme="minorEastAsia" w:eastAsiaTheme="minorEastAsia"/>
          <w:b/>
          <w:sz w:val="24"/>
          <w:szCs w:val="24"/>
        </w:rPr>
      </w:pP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 xml:space="preserve">   </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 xml:space="preserve"> 声    明</w:t>
      </w:r>
    </w:p>
    <w:p>
      <w:pPr>
        <w:spacing w:line="48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本单位（本人）对上述竞价协议作了详细的阅读，清楚明白且自愿接受上述竞价协议。</w:t>
      </w:r>
    </w:p>
    <w:p>
      <w:pPr>
        <w:spacing w:line="480" w:lineRule="auto"/>
        <w:rPr>
          <w:rFonts w:asciiTheme="minorEastAsia" w:hAnsiTheme="minorEastAsia" w:eastAsiaTheme="minorEastAsia"/>
          <w:b/>
          <w:sz w:val="24"/>
          <w:szCs w:val="24"/>
        </w:rPr>
      </w:pPr>
    </w:p>
    <w:p>
      <w:pPr>
        <w:pStyle w:val="20"/>
        <w:spacing w:beforeLines="50" w:afterLines="50" w:line="480" w:lineRule="auto"/>
        <w:ind w:right="1920"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8"/>
          <w:szCs w:val="28"/>
        </w:rPr>
        <w:t>福建省</w:t>
      </w:r>
      <w:r>
        <w:rPr>
          <w:rFonts w:hint="eastAsia" w:asciiTheme="minorEastAsia" w:hAnsiTheme="minorEastAsia" w:eastAsiaTheme="minorEastAsia"/>
          <w:sz w:val="28"/>
          <w:szCs w:val="28"/>
          <w:lang w:val="en-US" w:eastAsia="zh-CN"/>
        </w:rPr>
        <w:t>鹏翰</w:t>
      </w:r>
      <w:r>
        <w:rPr>
          <w:rFonts w:hint="eastAsia" w:asciiTheme="minorEastAsia" w:hAnsiTheme="minorEastAsia" w:eastAsiaTheme="minorEastAsia"/>
          <w:sz w:val="28"/>
          <w:szCs w:val="28"/>
        </w:rPr>
        <w:t>拍卖有限公司</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竞价人签章：</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w:t>
      </w:r>
    </w:p>
    <w:p>
      <w:pPr>
        <w:pStyle w:val="5"/>
        <w:spacing w:line="400" w:lineRule="exact"/>
        <w:ind w:left="0" w:leftChars="0" w:right="-426" w:rightChars="-203"/>
        <w:rPr>
          <w:rFonts w:asciiTheme="minorEastAsia" w:hAnsiTheme="minorEastAsia" w:eastAsiaTheme="minorEastAsia"/>
          <w:sz w:val="24"/>
          <w:szCs w:val="24"/>
        </w:rPr>
      </w:pPr>
      <w:r>
        <w:rPr>
          <w:rFonts w:hint="eastAsia" w:asciiTheme="minorEastAsia" w:hAnsiTheme="minorEastAsia" w:eastAsiaTheme="minorEastAsia"/>
          <w:sz w:val="28"/>
          <w:szCs w:val="28"/>
        </w:rPr>
        <w:t xml:space="preserve">   2022年    月    日                  </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2022年    月    日</w:t>
      </w:r>
    </w:p>
    <w:p>
      <w:pPr>
        <w:pStyle w:val="2"/>
        <w:tabs>
          <w:tab w:val="left" w:pos="284"/>
          <w:tab w:val="left" w:pos="1276"/>
        </w:tabs>
        <w:adjustRightInd w:val="0"/>
        <w:snapToGrid w:val="0"/>
        <w:ind w:firstLine="964"/>
        <w:jc w:val="center"/>
        <w:rPr>
          <w:rFonts w:ascii="宋体" w:hAnsi="宋体" w:cs="Arial"/>
          <w:b/>
          <w:sz w:val="48"/>
          <w:szCs w:val="48"/>
        </w:rPr>
      </w:pPr>
    </w:p>
    <w:p>
      <w:pPr>
        <w:pStyle w:val="2"/>
        <w:tabs>
          <w:tab w:val="left" w:pos="284"/>
          <w:tab w:val="left" w:pos="1276"/>
        </w:tabs>
        <w:adjustRightInd w:val="0"/>
        <w:snapToGrid w:val="0"/>
        <w:ind w:firstLine="964"/>
        <w:jc w:val="center"/>
        <w:rPr>
          <w:rFonts w:ascii="宋体" w:hAnsi="宋体" w:cs="Arial"/>
          <w:b/>
          <w:sz w:val="48"/>
          <w:szCs w:val="48"/>
        </w:rPr>
      </w:pPr>
    </w:p>
    <w:p>
      <w:pPr>
        <w:pStyle w:val="2"/>
        <w:tabs>
          <w:tab w:val="left" w:pos="284"/>
          <w:tab w:val="left" w:pos="1276"/>
        </w:tabs>
        <w:adjustRightInd w:val="0"/>
        <w:snapToGrid w:val="0"/>
        <w:ind w:firstLine="964"/>
        <w:jc w:val="center"/>
        <w:rPr>
          <w:rFonts w:ascii="宋体" w:hAnsi="宋体" w:cs="Arial"/>
          <w:b/>
          <w:sz w:val="48"/>
          <w:szCs w:val="48"/>
        </w:rPr>
      </w:pPr>
    </w:p>
    <w:p>
      <w:pPr>
        <w:pStyle w:val="2"/>
        <w:tabs>
          <w:tab w:val="left" w:pos="284"/>
          <w:tab w:val="left" w:pos="1276"/>
        </w:tabs>
        <w:adjustRightInd w:val="0"/>
        <w:snapToGrid w:val="0"/>
        <w:ind w:firstLine="964"/>
        <w:jc w:val="center"/>
        <w:rPr>
          <w:rFonts w:ascii="宋体" w:hAnsi="宋体" w:cs="Arial"/>
          <w:b/>
          <w:sz w:val="48"/>
          <w:szCs w:val="48"/>
        </w:rPr>
      </w:pPr>
    </w:p>
    <w:p>
      <w:pPr>
        <w:pStyle w:val="2"/>
        <w:tabs>
          <w:tab w:val="left" w:pos="284"/>
          <w:tab w:val="left" w:pos="1276"/>
        </w:tabs>
        <w:adjustRightInd w:val="0"/>
        <w:snapToGrid w:val="0"/>
        <w:ind w:firstLine="964"/>
        <w:jc w:val="center"/>
        <w:rPr>
          <w:rFonts w:ascii="宋体" w:hAnsi="宋体" w:cs="Arial"/>
          <w:b/>
          <w:sz w:val="48"/>
          <w:szCs w:val="48"/>
        </w:rPr>
      </w:pPr>
      <w:r>
        <w:rPr>
          <w:rFonts w:hint="eastAsia" w:ascii="宋体" w:hAnsi="宋体" w:cs="Arial"/>
          <w:b/>
          <w:sz w:val="48"/>
          <w:szCs w:val="48"/>
        </w:rPr>
        <w:t>竞  价</w:t>
      </w:r>
      <w:r>
        <w:rPr>
          <w:rFonts w:ascii="宋体" w:hAnsi="宋体" w:cs="Arial"/>
          <w:b/>
          <w:sz w:val="48"/>
          <w:szCs w:val="48"/>
        </w:rPr>
        <w:t xml:space="preserve">  </w:t>
      </w:r>
      <w:r>
        <w:rPr>
          <w:rFonts w:hint="eastAsia" w:ascii="宋体" w:hAnsi="宋体" w:cs="Arial"/>
          <w:b/>
          <w:sz w:val="48"/>
          <w:szCs w:val="48"/>
        </w:rPr>
        <w:t>清</w:t>
      </w:r>
      <w:r>
        <w:rPr>
          <w:rFonts w:ascii="宋体" w:hAnsi="宋体" w:cs="Arial"/>
          <w:b/>
          <w:sz w:val="48"/>
          <w:szCs w:val="48"/>
        </w:rPr>
        <w:t xml:space="preserve">  </w:t>
      </w:r>
      <w:r>
        <w:rPr>
          <w:rFonts w:hint="eastAsia" w:ascii="宋体" w:hAnsi="宋体" w:cs="Arial"/>
          <w:b/>
          <w:sz w:val="48"/>
          <w:szCs w:val="48"/>
        </w:rPr>
        <w:t>单</w:t>
      </w:r>
    </w:p>
    <w:p>
      <w:pPr>
        <w:spacing w:line="340" w:lineRule="exact"/>
        <w:ind w:firstLine="482" w:firstLineChars="200"/>
        <w:rPr>
          <w:rFonts w:ascii="宋体" w:hAnsi="宋体"/>
          <w:b/>
          <w:sz w:val="24"/>
          <w:szCs w:val="24"/>
        </w:rPr>
      </w:pPr>
    </w:p>
    <w:tbl>
      <w:tblPr>
        <w:tblStyle w:val="8"/>
        <w:tblW w:w="8433" w:type="dxa"/>
        <w:jc w:val="center"/>
        <w:tblLayout w:type="fixed"/>
        <w:tblCellMar>
          <w:top w:w="0" w:type="dxa"/>
          <w:left w:w="108" w:type="dxa"/>
          <w:bottom w:w="0" w:type="dxa"/>
          <w:right w:w="108" w:type="dxa"/>
        </w:tblCellMar>
      </w:tblPr>
      <w:tblGrid>
        <w:gridCol w:w="886"/>
        <w:gridCol w:w="4110"/>
        <w:gridCol w:w="1167"/>
        <w:gridCol w:w="993"/>
        <w:gridCol w:w="1277"/>
      </w:tblGrid>
      <w:tr>
        <w:tblPrEx>
          <w:tblCellMar>
            <w:top w:w="0" w:type="dxa"/>
            <w:left w:w="108" w:type="dxa"/>
            <w:bottom w:w="0" w:type="dxa"/>
            <w:right w:w="108" w:type="dxa"/>
          </w:tblCellMar>
        </w:tblPrEx>
        <w:trPr>
          <w:trHeight w:val="510"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41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bCs/>
                <w:kern w:val="0"/>
                <w:szCs w:val="21"/>
              </w:rPr>
              <w:t>标的名称</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底价</w:t>
            </w:r>
          </w:p>
          <w:p>
            <w:pPr>
              <w:widowControl/>
              <w:jc w:val="center"/>
              <w:rPr>
                <w:rFonts w:ascii="宋体" w:hAnsi="宋体" w:cs="宋体"/>
                <w:b/>
                <w:bCs/>
                <w:kern w:val="0"/>
                <w:szCs w:val="21"/>
              </w:rPr>
            </w:pPr>
            <w:r>
              <w:rPr>
                <w:rFonts w:hint="eastAsia" w:ascii="宋体" w:hAnsi="宋体" w:cs="宋体"/>
                <w:b/>
                <w:bCs/>
                <w:kern w:val="0"/>
                <w:szCs w:val="21"/>
              </w:rPr>
              <w:t>（万元）</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保证金</w:t>
            </w:r>
          </w:p>
          <w:p>
            <w:pPr>
              <w:widowControl/>
              <w:jc w:val="center"/>
              <w:rPr>
                <w:rFonts w:ascii="宋体" w:hAnsi="宋体" w:cs="宋体"/>
                <w:b/>
                <w:bCs/>
                <w:kern w:val="0"/>
                <w:szCs w:val="21"/>
              </w:rPr>
            </w:pPr>
            <w:r>
              <w:rPr>
                <w:rFonts w:hint="eastAsia" w:ascii="宋体" w:hAnsi="宋体" w:cs="宋体"/>
                <w:b/>
                <w:bCs/>
                <w:kern w:val="0"/>
                <w:szCs w:val="21"/>
              </w:rPr>
              <w:t>(万元)</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b/>
                <w:color w:val="000000"/>
                <w:kern w:val="0"/>
                <w:szCs w:val="21"/>
              </w:rPr>
            </w:pPr>
            <w:r>
              <w:rPr>
                <w:rFonts w:hint="eastAsia" w:ascii="宋体" w:hAnsi="宋体" w:cs="宋体"/>
                <w:b/>
                <w:color w:val="000000"/>
                <w:kern w:val="0"/>
                <w:szCs w:val="21"/>
              </w:rPr>
              <w:t>加价幅度</w:t>
            </w:r>
          </w:p>
          <w:p>
            <w:pPr>
              <w:widowControl/>
              <w:jc w:val="center"/>
              <w:rPr>
                <w:rFonts w:ascii="宋体" w:hAnsi="宋体" w:cs="宋体"/>
                <w:b/>
                <w:bCs/>
                <w:kern w:val="0"/>
                <w:szCs w:val="21"/>
              </w:rPr>
            </w:pPr>
            <w:r>
              <w:rPr>
                <w:rFonts w:hint="eastAsia" w:ascii="宋体" w:hAnsi="宋体" w:cs="宋体"/>
                <w:b/>
                <w:color w:val="000000"/>
                <w:kern w:val="0"/>
                <w:szCs w:val="21"/>
              </w:rPr>
              <w:t>（元）</w:t>
            </w:r>
          </w:p>
        </w:tc>
      </w:tr>
      <w:tr>
        <w:tblPrEx>
          <w:tblCellMar>
            <w:top w:w="0" w:type="dxa"/>
            <w:left w:w="108" w:type="dxa"/>
            <w:bottom w:w="0" w:type="dxa"/>
            <w:right w:w="108" w:type="dxa"/>
          </w:tblCellMar>
        </w:tblPrEx>
        <w:trPr>
          <w:trHeight w:val="1350" w:hRule="atLeast"/>
          <w:jc w:val="center"/>
        </w:trPr>
        <w:tc>
          <w:tcPr>
            <w:tcW w:w="886" w:type="dxa"/>
            <w:vMerge w:val="restart"/>
            <w:tcBorders>
              <w:top w:val="nil"/>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4110" w:type="dxa"/>
            <w:vMerge w:val="restart"/>
            <w:tcBorders>
              <w:top w:val="single" w:color="auto" w:sz="4" w:space="0"/>
              <w:left w:val="nil"/>
              <w:right w:val="single" w:color="auto" w:sz="4" w:space="0"/>
            </w:tcBorders>
            <w:vAlign w:val="center"/>
          </w:tcPr>
          <w:p>
            <w:pPr>
              <w:widowControl/>
              <w:jc w:val="center"/>
              <w:textAlignment w:val="center"/>
              <w:rPr>
                <w:rFonts w:ascii="宋体" w:hAnsi="宋体" w:cs="宋体"/>
                <w:color w:val="000000"/>
                <w:szCs w:val="21"/>
              </w:rPr>
            </w:pPr>
            <w:r>
              <w:rPr>
                <w:rFonts w:hint="eastAsia" w:cs="宋体" w:asciiTheme="minorEastAsia" w:hAnsiTheme="minorEastAsia" w:eastAsiaTheme="minorEastAsia"/>
                <w:bCs/>
                <w:color w:val="000000"/>
                <w:kern w:val="0"/>
                <w:sz w:val="24"/>
              </w:rPr>
              <w:t>政府储备物资</w:t>
            </w:r>
            <w:r>
              <w:rPr>
                <w:rFonts w:hint="eastAsia" w:cs="宋体" w:asciiTheme="minorEastAsia" w:hAnsiTheme="minorEastAsia" w:eastAsiaTheme="minorEastAsia"/>
                <w:bCs/>
                <w:color w:val="000000"/>
                <w:kern w:val="0"/>
                <w:sz w:val="24"/>
                <w:lang w:val="en-US" w:eastAsia="zh-CN"/>
              </w:rPr>
              <w:t>折叠床</w:t>
            </w:r>
            <w:r>
              <w:rPr>
                <w:rFonts w:hint="eastAsia" w:cs="宋体" w:asciiTheme="minorEastAsia" w:hAnsiTheme="minorEastAsia" w:eastAsiaTheme="minorEastAsia"/>
                <w:bCs/>
                <w:color w:val="000000"/>
                <w:kern w:val="0"/>
                <w:sz w:val="24"/>
              </w:rPr>
              <w:t>一批</w:t>
            </w:r>
          </w:p>
        </w:tc>
        <w:tc>
          <w:tcPr>
            <w:tcW w:w="1167" w:type="dxa"/>
            <w:vMerge w:val="restart"/>
            <w:tcBorders>
              <w:top w:val="single" w:color="auto" w:sz="4" w:space="0"/>
              <w:left w:val="single" w:color="auto" w:sz="4" w:space="0"/>
              <w:right w:val="single" w:color="auto" w:sz="4" w:space="0"/>
            </w:tcBorders>
            <w:shd w:val="clear" w:color="auto" w:fill="auto"/>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5.8</w:t>
            </w:r>
            <w:bookmarkStart w:id="0" w:name="_GoBack"/>
            <w:bookmarkEnd w:id="0"/>
          </w:p>
        </w:tc>
        <w:tc>
          <w:tcPr>
            <w:tcW w:w="993" w:type="dxa"/>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277"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200</w:t>
            </w:r>
          </w:p>
        </w:tc>
      </w:tr>
      <w:tr>
        <w:tblPrEx>
          <w:tblCellMar>
            <w:top w:w="0" w:type="dxa"/>
            <w:left w:w="108" w:type="dxa"/>
            <w:bottom w:w="0" w:type="dxa"/>
            <w:right w:w="108" w:type="dxa"/>
          </w:tblCellMar>
        </w:tblPrEx>
        <w:trPr>
          <w:trHeight w:val="1558" w:hRule="atLeast"/>
          <w:jc w:val="center"/>
        </w:trPr>
        <w:tc>
          <w:tcPr>
            <w:tcW w:w="88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110" w:type="dxa"/>
            <w:vMerge w:val="continue"/>
            <w:tcBorders>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p>
        </w:tc>
        <w:tc>
          <w:tcPr>
            <w:tcW w:w="1167"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Cs w:val="21"/>
              </w:rPr>
            </w:pPr>
          </w:p>
        </w:tc>
        <w:tc>
          <w:tcPr>
            <w:tcW w:w="993" w:type="dxa"/>
            <w:vMerge w:val="continue"/>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27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bl>
    <w:p>
      <w:pPr>
        <w:tabs>
          <w:tab w:val="left" w:pos="-284"/>
        </w:tabs>
        <w:adjustRightInd w:val="0"/>
        <w:snapToGrid w:val="0"/>
        <w:spacing w:line="320" w:lineRule="atLeast"/>
        <w:ind w:right="281" w:rightChars="134"/>
        <w:jc w:val="left"/>
        <w:rPr>
          <w:rFonts w:ascii="宋体" w:hAnsi="宋体"/>
          <w:b/>
          <w:sz w:val="24"/>
        </w:rPr>
      </w:pPr>
    </w:p>
    <w:p>
      <w:pPr>
        <w:keepNext w:val="0"/>
        <w:keepLines w:val="0"/>
        <w:pageBreakBefore w:val="0"/>
        <w:widowControl w:val="0"/>
        <w:tabs>
          <w:tab w:val="left" w:pos="-567"/>
        </w:tabs>
        <w:kinsoku/>
        <w:wordWrap/>
        <w:overflowPunct/>
        <w:topLinePunct w:val="0"/>
        <w:autoSpaceDE/>
        <w:autoSpaceDN/>
        <w:bidi w:val="0"/>
        <w:adjustRightInd w:val="0"/>
        <w:snapToGrid w:val="0"/>
        <w:spacing w:line="380" w:lineRule="atLeast"/>
        <w:ind w:left="-424" w:leftChars="-202" w:right="281" w:rightChars="134" w:firstLine="480" w:firstLineChars="200"/>
        <w:jc w:val="left"/>
        <w:textAlignment w:val="auto"/>
        <w:rPr>
          <w:rFonts w:ascii="宋体" w:hAnsi="宋体" w:cs="Arial" w:eastAsiaTheme="minorEastAsia"/>
          <w:color w:val="000000"/>
          <w:kern w:val="44"/>
          <w:sz w:val="24"/>
          <w:szCs w:val="24"/>
        </w:rPr>
      </w:pPr>
      <w:r>
        <w:rPr>
          <w:rFonts w:hint="eastAsia" w:ascii="宋体" w:hAnsi="宋体" w:cs="Arial" w:eastAsiaTheme="minorEastAsia"/>
          <w:color w:val="000000"/>
          <w:kern w:val="44"/>
          <w:sz w:val="24"/>
          <w:szCs w:val="24"/>
          <w:lang w:val="en-US" w:eastAsia="zh-CN"/>
        </w:rPr>
        <w:t>按标的现状竞价，</w:t>
      </w:r>
      <w:r>
        <w:rPr>
          <w:rFonts w:hint="eastAsia" w:ascii="宋体" w:hAnsi="宋体" w:cs="Arial" w:eastAsiaTheme="minorEastAsia"/>
          <w:color w:val="000000"/>
          <w:kern w:val="44"/>
          <w:sz w:val="24"/>
          <w:szCs w:val="24"/>
        </w:rPr>
        <w:t>以实际看样为准,标的详细状况须在竞价前</w:t>
      </w:r>
      <w:r>
        <w:rPr>
          <w:rFonts w:hint="eastAsia" w:ascii="宋体" w:hAnsi="宋体" w:cs="Arial" w:eastAsiaTheme="minorEastAsia"/>
          <w:color w:val="000000"/>
          <w:kern w:val="44"/>
          <w:sz w:val="24"/>
          <w:szCs w:val="24"/>
          <w:lang w:val="en-US" w:eastAsia="zh-CN"/>
        </w:rPr>
        <w:t>看样</w:t>
      </w:r>
      <w:r>
        <w:rPr>
          <w:rFonts w:hint="eastAsia" w:ascii="宋体" w:hAnsi="宋体" w:cs="Arial" w:eastAsiaTheme="minorEastAsia"/>
          <w:color w:val="000000"/>
          <w:kern w:val="44"/>
          <w:sz w:val="24"/>
          <w:szCs w:val="24"/>
        </w:rPr>
        <w:t>。</w:t>
      </w:r>
    </w:p>
    <w:p>
      <w:pPr>
        <w:keepNext w:val="0"/>
        <w:keepLines w:val="0"/>
        <w:pageBreakBefore w:val="0"/>
        <w:widowControl w:val="0"/>
        <w:tabs>
          <w:tab w:val="left" w:pos="-567"/>
        </w:tabs>
        <w:kinsoku/>
        <w:wordWrap/>
        <w:overflowPunct/>
        <w:topLinePunct w:val="0"/>
        <w:autoSpaceDE/>
        <w:autoSpaceDN/>
        <w:bidi w:val="0"/>
        <w:adjustRightInd w:val="0"/>
        <w:snapToGrid w:val="0"/>
        <w:spacing w:line="380" w:lineRule="atLeast"/>
        <w:ind w:left="-424" w:leftChars="-202" w:right="281" w:rightChars="134" w:firstLine="480" w:firstLineChars="200"/>
        <w:jc w:val="left"/>
        <w:textAlignment w:val="auto"/>
        <w:rPr>
          <w:rFonts w:hint="eastAsia" w:ascii="宋体" w:hAnsi="宋体" w:cs="Arial" w:eastAsiaTheme="minorEastAsia"/>
          <w:color w:val="000000"/>
          <w:kern w:val="44"/>
          <w:sz w:val="24"/>
          <w:szCs w:val="24"/>
          <w:lang w:val="en-US" w:eastAsia="zh-CN"/>
        </w:rPr>
      </w:pPr>
      <w:r>
        <w:rPr>
          <w:rFonts w:hint="eastAsia" w:ascii="宋体" w:hAnsi="宋体" w:cs="Arial" w:eastAsiaTheme="minorEastAsia"/>
          <w:color w:val="000000"/>
          <w:kern w:val="44"/>
          <w:sz w:val="24"/>
          <w:szCs w:val="24"/>
          <w:lang w:val="en-US" w:eastAsia="zh-CN"/>
        </w:rPr>
        <w:t>特别说明：本次竞价的2000张折叠床均为救灾储备轮换物资，买受人在交接出库时，均需要印有“救灾专用”等字样及其标识给予去除，均不得流入市场，买受人提货前需在委托人监督下销毁。一旦流入市场，买受人承担一切法律后果。</w:t>
      </w:r>
    </w:p>
    <w:p>
      <w:pPr>
        <w:keepNext w:val="0"/>
        <w:keepLines w:val="0"/>
        <w:pageBreakBefore w:val="0"/>
        <w:widowControl w:val="0"/>
        <w:tabs>
          <w:tab w:val="left" w:pos="-567"/>
        </w:tabs>
        <w:kinsoku/>
        <w:wordWrap/>
        <w:overflowPunct/>
        <w:topLinePunct w:val="0"/>
        <w:autoSpaceDE/>
        <w:autoSpaceDN/>
        <w:bidi w:val="0"/>
        <w:adjustRightInd w:val="0"/>
        <w:snapToGrid w:val="0"/>
        <w:spacing w:line="380" w:lineRule="atLeast"/>
        <w:ind w:left="-424" w:leftChars="-202" w:right="281" w:rightChars="134" w:firstLine="480" w:firstLineChars="200"/>
        <w:jc w:val="left"/>
        <w:textAlignment w:val="auto"/>
        <w:rPr>
          <w:rFonts w:hint="eastAsia" w:ascii="宋体" w:hAnsi="宋体" w:cs="Arial" w:eastAsiaTheme="minorEastAsia"/>
          <w:color w:val="000000"/>
          <w:kern w:val="44"/>
          <w:sz w:val="24"/>
          <w:szCs w:val="24"/>
          <w:lang w:val="en-US" w:eastAsia="zh-CN"/>
        </w:rPr>
      </w:pPr>
      <w:r>
        <w:rPr>
          <w:rFonts w:hint="eastAsia" w:ascii="宋体" w:hAnsi="宋体" w:cs="Arial" w:eastAsiaTheme="minorEastAsia"/>
          <w:color w:val="000000"/>
          <w:kern w:val="44"/>
          <w:sz w:val="24"/>
          <w:szCs w:val="24"/>
          <w:lang w:val="en-US" w:eastAsia="zh-CN"/>
        </w:rPr>
        <w:t>请各竞价人详细阅读《网络竞价协议》。</w:t>
      </w:r>
    </w:p>
    <w:p>
      <w:pPr>
        <w:widowControl/>
        <w:spacing w:before="75" w:after="75"/>
        <w:ind w:right="75"/>
        <w:jc w:val="center"/>
        <w:rPr>
          <w:rFonts w:hint="eastAsia" w:ascii="黑体" w:hAnsi="黑体" w:eastAsia="黑体" w:cs="宋体"/>
          <w:b/>
          <w:kern w:val="0"/>
          <w:sz w:val="44"/>
          <w:szCs w:val="44"/>
        </w:rPr>
      </w:pPr>
    </w:p>
    <w:p>
      <w:pPr>
        <w:widowControl/>
        <w:spacing w:before="75" w:after="75"/>
        <w:ind w:right="75"/>
        <w:jc w:val="center"/>
        <w:rPr>
          <w:rFonts w:hint="eastAsia" w:ascii="黑体" w:hAnsi="黑体" w:eastAsia="黑体" w:cs="宋体"/>
          <w:b/>
          <w:kern w:val="0"/>
          <w:sz w:val="44"/>
          <w:szCs w:val="44"/>
        </w:rPr>
      </w:pPr>
    </w:p>
    <w:p>
      <w:pPr>
        <w:widowControl/>
        <w:spacing w:before="75" w:after="75"/>
        <w:ind w:right="75"/>
        <w:jc w:val="center"/>
        <w:rPr>
          <w:rFonts w:hint="eastAsia" w:ascii="黑体" w:hAnsi="黑体" w:eastAsia="黑体" w:cs="宋体"/>
          <w:b/>
          <w:kern w:val="0"/>
          <w:sz w:val="44"/>
          <w:szCs w:val="44"/>
        </w:rPr>
      </w:pPr>
    </w:p>
    <w:p>
      <w:pPr>
        <w:widowControl/>
        <w:spacing w:before="75" w:after="75"/>
        <w:ind w:right="75"/>
        <w:jc w:val="center"/>
        <w:rPr>
          <w:rFonts w:hint="eastAsia" w:ascii="黑体" w:hAnsi="黑体" w:eastAsia="黑体" w:cs="宋体"/>
          <w:b/>
          <w:kern w:val="0"/>
          <w:sz w:val="44"/>
          <w:szCs w:val="44"/>
        </w:rPr>
      </w:pPr>
    </w:p>
    <w:p>
      <w:pPr>
        <w:widowControl/>
        <w:spacing w:before="75" w:after="75"/>
        <w:ind w:right="75"/>
        <w:jc w:val="center"/>
        <w:rPr>
          <w:rFonts w:hint="eastAsia" w:ascii="黑体" w:hAnsi="黑体" w:eastAsia="黑体" w:cs="宋体"/>
          <w:b/>
          <w:kern w:val="0"/>
          <w:sz w:val="44"/>
          <w:szCs w:val="44"/>
        </w:rPr>
      </w:pPr>
    </w:p>
    <w:p>
      <w:pPr>
        <w:widowControl/>
        <w:spacing w:before="75" w:after="75"/>
        <w:ind w:right="75"/>
        <w:jc w:val="center"/>
        <w:rPr>
          <w:rFonts w:hint="eastAsia" w:ascii="黑体" w:hAnsi="黑体" w:eastAsia="黑体" w:cs="宋体"/>
          <w:b/>
          <w:kern w:val="0"/>
          <w:sz w:val="44"/>
          <w:szCs w:val="44"/>
        </w:rPr>
      </w:pPr>
    </w:p>
    <w:p>
      <w:pPr>
        <w:widowControl/>
        <w:spacing w:before="75" w:after="75"/>
        <w:ind w:right="75"/>
        <w:jc w:val="center"/>
        <w:rPr>
          <w:rFonts w:hint="eastAsia" w:ascii="黑体" w:hAnsi="黑体" w:eastAsia="黑体" w:cs="宋体"/>
          <w:b/>
          <w:kern w:val="0"/>
          <w:sz w:val="44"/>
          <w:szCs w:val="44"/>
        </w:rPr>
      </w:pPr>
    </w:p>
    <w:p>
      <w:pPr>
        <w:widowControl/>
        <w:spacing w:before="75" w:after="75"/>
        <w:ind w:right="75"/>
        <w:jc w:val="center"/>
        <w:rPr>
          <w:rFonts w:hint="eastAsia" w:ascii="黑体" w:hAnsi="黑体" w:eastAsia="黑体" w:cs="宋体"/>
          <w:b/>
          <w:kern w:val="0"/>
          <w:sz w:val="44"/>
          <w:szCs w:val="44"/>
        </w:rPr>
      </w:pPr>
    </w:p>
    <w:p>
      <w:pPr>
        <w:widowControl/>
        <w:spacing w:before="75" w:after="75"/>
        <w:ind w:right="75"/>
        <w:jc w:val="center"/>
        <w:rPr>
          <w:rFonts w:hint="eastAsia" w:ascii="黑体" w:hAnsi="黑体" w:eastAsia="黑体" w:cs="宋体"/>
          <w:b/>
          <w:kern w:val="0"/>
          <w:sz w:val="44"/>
          <w:szCs w:val="44"/>
        </w:rPr>
      </w:pPr>
    </w:p>
    <w:p>
      <w:pPr>
        <w:widowControl/>
        <w:spacing w:before="75" w:after="75"/>
        <w:ind w:right="75"/>
        <w:jc w:val="center"/>
        <w:rPr>
          <w:rFonts w:hint="eastAsia" w:ascii="黑体" w:hAnsi="黑体" w:eastAsia="黑体" w:cs="宋体"/>
          <w:b/>
          <w:kern w:val="0"/>
          <w:sz w:val="44"/>
          <w:szCs w:val="44"/>
        </w:rPr>
      </w:pPr>
    </w:p>
    <w:p>
      <w:pPr>
        <w:widowControl/>
        <w:spacing w:before="75" w:after="75"/>
        <w:ind w:right="75"/>
        <w:jc w:val="center"/>
        <w:rPr>
          <w:rFonts w:ascii="黑体" w:hAnsi="黑体" w:eastAsia="黑体" w:cs="宋体"/>
          <w:b/>
          <w:kern w:val="0"/>
          <w:sz w:val="44"/>
          <w:szCs w:val="44"/>
        </w:rPr>
      </w:pPr>
      <w:r>
        <w:rPr>
          <w:rFonts w:hint="eastAsia" w:ascii="黑体" w:hAnsi="黑体" w:eastAsia="黑体" w:cs="宋体"/>
          <w:b/>
          <w:kern w:val="0"/>
          <w:sz w:val="44"/>
          <w:szCs w:val="44"/>
        </w:rPr>
        <w:t>成交结果确认书（样本）</w:t>
      </w:r>
    </w:p>
    <w:p>
      <w:pPr>
        <w:widowControl/>
        <w:spacing w:before="75" w:after="75"/>
        <w:ind w:right="75" w:firstLine="3048" w:firstLineChars="690"/>
        <w:rPr>
          <w:rFonts w:ascii="黑体" w:hAnsi="黑体" w:eastAsia="黑体" w:cs="宋体"/>
          <w:b/>
          <w:kern w:val="0"/>
          <w:sz w:val="44"/>
          <w:szCs w:val="44"/>
        </w:rPr>
      </w:pPr>
    </w:p>
    <w:p>
      <w:pPr>
        <w:widowControl/>
        <w:spacing w:before="75" w:after="75" w:line="500" w:lineRule="exact"/>
        <w:ind w:right="75" w:firstLine="180" w:firstLineChars="64"/>
        <w:rPr>
          <w:rFonts w:ascii="黑体" w:eastAsia="黑体" w:cs="宋体"/>
          <w:kern w:val="0"/>
          <w:sz w:val="28"/>
          <w:szCs w:val="28"/>
        </w:rPr>
      </w:pPr>
      <w:r>
        <w:rPr>
          <w:rFonts w:hint="eastAsia" w:ascii="黑体" w:hAnsi="黑体" w:eastAsia="黑体"/>
          <w:b/>
          <w:sz w:val="28"/>
          <w:szCs w:val="28"/>
        </w:rPr>
        <w:t xml:space="preserve">   </w:t>
      </w:r>
      <w:r>
        <w:rPr>
          <w:rFonts w:hint="eastAsia" w:ascii="黑体" w:hAnsi="黑体" w:eastAsia="黑体"/>
          <w:sz w:val="28"/>
          <w:szCs w:val="28"/>
        </w:rPr>
        <w:t>根据《厦门经济特区公共资源市场配置监管条例》、《厦门经济特区公共资源市场配置监管条例实施细则》，</w:t>
      </w:r>
      <w:r>
        <w:rPr>
          <w:rFonts w:hint="eastAsia" w:ascii="黑体" w:eastAsia="黑体" w:cs="宋体"/>
          <w:kern w:val="0"/>
          <w:sz w:val="28"/>
          <w:szCs w:val="28"/>
          <w:u w:val="single"/>
        </w:rPr>
        <w:t xml:space="preserve">               </w:t>
      </w:r>
      <w:r>
        <w:rPr>
          <w:rFonts w:hint="eastAsia" w:ascii="黑体" w:eastAsia="黑体" w:cs="宋体"/>
          <w:kern w:val="0"/>
          <w:sz w:val="28"/>
          <w:szCs w:val="28"/>
        </w:rPr>
        <w:t>接受</w:t>
      </w:r>
      <w:r>
        <w:rPr>
          <w:rFonts w:hint="eastAsia" w:ascii="黑体" w:eastAsia="黑体" w:cs="宋体"/>
          <w:kern w:val="0"/>
          <w:sz w:val="28"/>
          <w:szCs w:val="28"/>
          <w:u w:val="single"/>
        </w:rPr>
        <w:t>厦门市发展和改革委员会</w:t>
      </w:r>
      <w:r>
        <w:rPr>
          <w:rFonts w:hint="eastAsia" w:ascii="黑体" w:eastAsia="黑体" w:cs="宋体"/>
          <w:kern w:val="0"/>
          <w:sz w:val="28"/>
          <w:szCs w:val="28"/>
        </w:rPr>
        <w:t>的委托，于</w:t>
      </w:r>
      <w:r>
        <w:rPr>
          <w:rFonts w:hint="eastAsia" w:ascii="黑体" w:eastAsia="黑体" w:cs="宋体"/>
          <w:kern w:val="0"/>
          <w:sz w:val="28"/>
          <w:szCs w:val="28"/>
          <w:u w:val="single"/>
        </w:rPr>
        <w:t xml:space="preserve">     </w:t>
      </w:r>
      <w:r>
        <w:rPr>
          <w:rFonts w:hint="eastAsia" w:ascii="黑体" w:hAnsi="仿宋_GB2312" w:eastAsia="黑体" w:cs="仿宋_GB2312"/>
          <w:sz w:val="28"/>
          <w:szCs w:val="28"/>
        </w:rPr>
        <w:t xml:space="preserve">年 </w:t>
      </w:r>
      <w:r>
        <w:rPr>
          <w:rFonts w:hint="eastAsia" w:ascii="黑体" w:hAnsi="仿宋_GB2312" w:eastAsia="黑体" w:cs="仿宋_GB2312"/>
          <w:sz w:val="28"/>
          <w:szCs w:val="28"/>
          <w:u w:val="single"/>
        </w:rPr>
        <w:t xml:space="preserve">     </w:t>
      </w:r>
      <w:r>
        <w:rPr>
          <w:rFonts w:hint="eastAsia" w:ascii="黑体" w:hAnsi="仿宋_GB2312" w:eastAsia="黑体" w:cs="仿宋_GB2312"/>
          <w:sz w:val="28"/>
          <w:szCs w:val="28"/>
        </w:rPr>
        <w:t>月</w:t>
      </w:r>
      <w:r>
        <w:rPr>
          <w:rFonts w:hint="eastAsia" w:ascii="黑体" w:hAnsi="仿宋_GB2312" w:eastAsia="黑体" w:cs="仿宋_GB2312"/>
          <w:sz w:val="28"/>
          <w:szCs w:val="28"/>
          <w:u w:val="single"/>
        </w:rPr>
        <w:t xml:space="preserve">     </w:t>
      </w:r>
      <w:r>
        <w:rPr>
          <w:rFonts w:hint="eastAsia" w:ascii="黑体" w:eastAsia="黑体"/>
          <w:sz w:val="28"/>
          <w:szCs w:val="28"/>
        </w:rPr>
        <w:t>日举行网络竞价会，公开组织竞价。</w:t>
      </w:r>
      <w:r>
        <w:rPr>
          <w:rFonts w:hint="eastAsia" w:ascii="黑体" w:eastAsia="黑体" w:cs="宋体"/>
          <w:kern w:val="0"/>
          <w:sz w:val="28"/>
          <w:szCs w:val="28"/>
        </w:rPr>
        <w:t>本次竞价会竞价人</w:t>
      </w:r>
      <w:r>
        <w:rPr>
          <w:rFonts w:hint="eastAsia" w:ascii="黑体" w:eastAsia="黑体" w:cs="宋体"/>
          <w:kern w:val="0"/>
          <w:sz w:val="28"/>
          <w:szCs w:val="28"/>
          <w:u w:val="single"/>
        </w:rPr>
        <w:t xml:space="preserve">                    </w:t>
      </w:r>
      <w:r>
        <w:rPr>
          <w:rFonts w:hint="eastAsia" w:ascii="黑体" w:eastAsia="黑体" w:cs="宋体"/>
          <w:kern w:val="0"/>
          <w:sz w:val="28"/>
          <w:szCs w:val="28"/>
        </w:rPr>
        <w:t>（竞价人账号：</w:t>
      </w:r>
      <w:r>
        <w:rPr>
          <w:rFonts w:hint="eastAsia" w:ascii="黑体" w:eastAsia="黑体" w:cs="宋体"/>
          <w:kern w:val="0"/>
          <w:sz w:val="28"/>
          <w:szCs w:val="28"/>
          <w:u w:val="single"/>
        </w:rPr>
        <w:t xml:space="preserve">            </w:t>
      </w:r>
      <w:r>
        <w:rPr>
          <w:rFonts w:hint="eastAsia" w:ascii="黑体" w:eastAsia="黑体" w:cs="宋体"/>
          <w:kern w:val="0"/>
          <w:sz w:val="28"/>
          <w:szCs w:val="28"/>
        </w:rPr>
        <w:t>），</w:t>
      </w:r>
    </w:p>
    <w:p>
      <w:pPr>
        <w:widowControl/>
        <w:adjustRightInd w:val="0"/>
        <w:spacing w:line="500" w:lineRule="exact"/>
        <w:rPr>
          <w:rFonts w:ascii="黑体" w:eastAsia="黑体" w:cs="宋体"/>
          <w:kern w:val="0"/>
          <w:sz w:val="28"/>
          <w:szCs w:val="28"/>
        </w:rPr>
      </w:pPr>
      <w:r>
        <w:rPr>
          <w:rFonts w:hint="eastAsia" w:ascii="黑体" w:eastAsia="黑体" w:cs="宋体"/>
          <w:kern w:val="0"/>
          <w:sz w:val="28"/>
          <w:szCs w:val="28"/>
        </w:rPr>
        <w:t>以人民币</w:t>
      </w:r>
      <w:r>
        <w:rPr>
          <w:rFonts w:hint="eastAsia" w:ascii="黑体" w:eastAsia="黑体" w:cs="宋体"/>
          <w:kern w:val="0"/>
          <w:sz w:val="28"/>
          <w:szCs w:val="28"/>
          <w:u w:val="single"/>
        </w:rPr>
        <w:t xml:space="preserve">                           </w:t>
      </w:r>
      <w:r>
        <w:rPr>
          <w:rFonts w:hint="eastAsia" w:ascii="黑体" w:eastAsia="黑体" w:cs="宋体"/>
          <w:kern w:val="0"/>
          <w:sz w:val="28"/>
          <w:szCs w:val="28"/>
        </w:rPr>
        <w:t>（</w:t>
      </w:r>
      <w:r>
        <w:rPr>
          <w:rFonts w:hint="eastAsia" w:ascii="黑体" w:eastAsia="黑体" w:cs="宋体"/>
          <w:kern w:val="0"/>
          <w:sz w:val="28"/>
          <w:szCs w:val="28"/>
          <w:u w:val="single"/>
        </w:rPr>
        <w:t xml:space="preserve">              </w:t>
      </w:r>
      <w:r>
        <w:rPr>
          <w:rFonts w:hint="eastAsia" w:ascii="黑体" w:eastAsia="黑体" w:cs="宋体"/>
          <w:kern w:val="0"/>
          <w:sz w:val="28"/>
          <w:szCs w:val="28"/>
        </w:rPr>
        <w:t>）竟得标的。自最终中标人签订本成交结果确认书之时起，委托方与最终中标人之间的合同关系即告成立，最终中标人需在规定的时间内与转让方完成签订书面合同的手续。该竞价结果将在厦门市公共资源交易平台站上公示。</w:t>
      </w:r>
    </w:p>
    <w:p>
      <w:pPr>
        <w:widowControl/>
        <w:adjustRightInd w:val="0"/>
        <w:spacing w:line="500" w:lineRule="exact"/>
        <w:ind w:firstLine="560" w:firstLineChars="200"/>
        <w:rPr>
          <w:rFonts w:ascii="黑体" w:eastAsia="黑体" w:cs="宋体"/>
          <w:kern w:val="0"/>
          <w:sz w:val="28"/>
          <w:szCs w:val="28"/>
        </w:rPr>
      </w:pPr>
      <w:r>
        <w:rPr>
          <w:rFonts w:hint="eastAsia" w:ascii="黑体" w:eastAsia="黑体" w:cs="宋体"/>
          <w:kern w:val="0"/>
          <w:sz w:val="28"/>
          <w:szCs w:val="28"/>
        </w:rPr>
        <w:t>最终中标人及转让方对本次竞价会的全过程无如何异议。本次竞价结果确认书一式五份，厦门市公共资源交易中心执壹份，代理机构执壹份，转让方执贰份，最终中标人执壹份。</w:t>
      </w:r>
    </w:p>
    <w:p>
      <w:pPr>
        <w:widowControl/>
        <w:adjustRightInd w:val="0"/>
        <w:spacing w:line="500" w:lineRule="exact"/>
        <w:ind w:firstLine="980" w:firstLineChars="350"/>
        <w:rPr>
          <w:rFonts w:ascii="黑体" w:eastAsia="黑体"/>
          <w:bCs/>
          <w:sz w:val="28"/>
          <w:szCs w:val="28"/>
        </w:rPr>
      </w:pPr>
      <w:r>
        <w:rPr>
          <w:rFonts w:hint="eastAsia" w:ascii="黑体" w:eastAsia="黑体"/>
          <w:bCs/>
          <w:sz w:val="28"/>
          <w:szCs w:val="28"/>
        </w:rPr>
        <w:t xml:space="preserve">                   </w:t>
      </w:r>
    </w:p>
    <w:p>
      <w:pPr>
        <w:widowControl/>
        <w:adjustRightInd w:val="0"/>
        <w:spacing w:line="500" w:lineRule="exact"/>
        <w:ind w:firstLine="980" w:firstLineChars="350"/>
        <w:rPr>
          <w:rFonts w:ascii="黑体" w:eastAsia="黑体"/>
          <w:bCs/>
          <w:sz w:val="28"/>
          <w:szCs w:val="28"/>
        </w:rPr>
      </w:pPr>
      <w:r>
        <w:rPr>
          <w:rFonts w:hint="eastAsia" w:ascii="黑体" w:eastAsia="黑体"/>
          <w:bCs/>
          <w:sz w:val="28"/>
          <w:szCs w:val="28"/>
        </w:rPr>
        <w:t xml:space="preserve"> </w:t>
      </w:r>
    </w:p>
    <w:p>
      <w:pPr>
        <w:widowControl/>
        <w:adjustRightInd w:val="0"/>
        <w:spacing w:line="500" w:lineRule="exact"/>
        <w:rPr>
          <w:rFonts w:ascii="黑体" w:eastAsia="黑体" w:cs="宋体"/>
          <w:kern w:val="0"/>
          <w:sz w:val="28"/>
          <w:szCs w:val="28"/>
        </w:rPr>
      </w:pPr>
      <w:r>
        <w:rPr>
          <w:rFonts w:hint="eastAsia" w:ascii="黑体" w:eastAsia="黑体" w:cs="宋体"/>
          <w:kern w:val="0"/>
          <w:sz w:val="28"/>
          <w:szCs w:val="28"/>
        </w:rPr>
        <w:t>转让方代表：</w:t>
      </w:r>
    </w:p>
    <w:p>
      <w:pPr>
        <w:widowControl/>
        <w:adjustRightInd w:val="0"/>
        <w:spacing w:line="500" w:lineRule="exact"/>
        <w:rPr>
          <w:rFonts w:ascii="黑体" w:eastAsia="黑体" w:cs="宋体"/>
          <w:kern w:val="0"/>
          <w:sz w:val="28"/>
          <w:szCs w:val="28"/>
        </w:rPr>
      </w:pPr>
    </w:p>
    <w:p>
      <w:pPr>
        <w:widowControl/>
        <w:adjustRightInd w:val="0"/>
        <w:spacing w:line="500" w:lineRule="exact"/>
        <w:rPr>
          <w:rFonts w:ascii="黑体" w:eastAsia="黑体" w:cs="宋体"/>
          <w:kern w:val="0"/>
          <w:sz w:val="28"/>
          <w:szCs w:val="28"/>
        </w:rPr>
      </w:pPr>
    </w:p>
    <w:p>
      <w:pPr>
        <w:widowControl/>
        <w:adjustRightInd w:val="0"/>
        <w:spacing w:line="500" w:lineRule="exact"/>
        <w:rPr>
          <w:rFonts w:ascii="黑体" w:eastAsia="黑体"/>
          <w:bCs/>
          <w:sz w:val="28"/>
          <w:szCs w:val="28"/>
        </w:rPr>
      </w:pPr>
      <w:r>
        <w:rPr>
          <w:rFonts w:hint="eastAsia" w:ascii="黑体" w:eastAsia="黑体" w:cs="宋体"/>
          <w:kern w:val="0"/>
          <w:sz w:val="28"/>
          <w:szCs w:val="28"/>
        </w:rPr>
        <w:t>最终中标人：</w:t>
      </w:r>
    </w:p>
    <w:p>
      <w:pPr>
        <w:widowControl/>
        <w:adjustRightInd w:val="0"/>
        <w:spacing w:line="500" w:lineRule="exact"/>
        <w:ind w:firstLine="980" w:firstLineChars="350"/>
        <w:rPr>
          <w:rFonts w:ascii="黑体" w:eastAsia="黑体"/>
          <w:bCs/>
          <w:sz w:val="28"/>
          <w:szCs w:val="28"/>
        </w:rPr>
      </w:pPr>
    </w:p>
    <w:p>
      <w:pPr>
        <w:widowControl/>
        <w:adjustRightInd w:val="0"/>
        <w:spacing w:line="500" w:lineRule="exact"/>
        <w:ind w:firstLine="980" w:firstLineChars="350"/>
        <w:rPr>
          <w:rFonts w:ascii="黑体" w:eastAsia="黑体"/>
          <w:bCs/>
          <w:sz w:val="28"/>
          <w:szCs w:val="28"/>
        </w:rPr>
      </w:pPr>
    </w:p>
    <w:p>
      <w:pPr>
        <w:widowControl/>
        <w:spacing w:line="500" w:lineRule="exact"/>
        <w:ind w:right="75" w:firstLine="5622" w:firstLineChars="2000"/>
        <w:rPr>
          <w:rFonts w:ascii="黑体" w:eastAsia="黑体"/>
          <w:b/>
          <w:bCs/>
          <w:sz w:val="28"/>
          <w:szCs w:val="28"/>
        </w:rPr>
      </w:pPr>
      <w:r>
        <w:rPr>
          <w:rFonts w:hint="eastAsia" w:ascii="黑体" w:eastAsia="黑体"/>
          <w:b/>
          <w:bCs/>
          <w:sz w:val="28"/>
          <w:szCs w:val="28"/>
        </w:rPr>
        <w:t xml:space="preserve">  福建省</w:t>
      </w:r>
      <w:r>
        <w:rPr>
          <w:rFonts w:hint="eastAsia" w:ascii="黑体" w:eastAsia="黑体"/>
          <w:b/>
          <w:bCs/>
          <w:sz w:val="28"/>
          <w:szCs w:val="28"/>
          <w:lang w:val="en-US" w:eastAsia="zh-CN"/>
        </w:rPr>
        <w:t>鹏翰</w:t>
      </w:r>
      <w:r>
        <w:rPr>
          <w:rFonts w:hint="eastAsia" w:ascii="黑体" w:eastAsia="黑体"/>
          <w:b/>
          <w:bCs/>
          <w:sz w:val="28"/>
          <w:szCs w:val="28"/>
        </w:rPr>
        <w:t>拍卖有限公司</w:t>
      </w:r>
    </w:p>
    <w:p>
      <w:pPr>
        <w:widowControl/>
        <w:spacing w:line="500" w:lineRule="exact"/>
        <w:ind w:left="76" w:leftChars="36" w:right="75" w:firstLine="6156" w:firstLineChars="2190"/>
        <w:rPr>
          <w:rFonts w:ascii="黑体" w:eastAsia="黑体"/>
          <w:b/>
          <w:bCs/>
          <w:sz w:val="28"/>
          <w:szCs w:val="28"/>
        </w:rPr>
      </w:pPr>
    </w:p>
    <w:p>
      <w:pPr>
        <w:widowControl/>
        <w:spacing w:line="500" w:lineRule="exact"/>
        <w:ind w:left="76" w:leftChars="36" w:right="75" w:firstLine="5880" w:firstLineChars="2092"/>
        <w:rPr>
          <w:rFonts w:ascii="宋体" w:hAnsi="宋体" w:cs="Arial"/>
          <w:color w:val="000000"/>
          <w:kern w:val="44"/>
          <w:sz w:val="32"/>
          <w:szCs w:val="32"/>
        </w:rPr>
      </w:pPr>
      <w:r>
        <w:rPr>
          <w:rFonts w:hint="eastAsia"/>
          <w:b/>
          <w:sz w:val="28"/>
          <w:szCs w:val="28"/>
          <w:lang w:val="en-US" w:eastAsia="zh-CN"/>
        </w:rPr>
        <w:t>2022</w:t>
      </w:r>
      <w:r>
        <w:rPr>
          <w:rFonts w:hint="eastAsia" w:hAnsi="仿宋_GB2312" w:cs="仿宋_GB2312"/>
          <w:b/>
          <w:sz w:val="28"/>
          <w:szCs w:val="28"/>
        </w:rPr>
        <w:t>年</w:t>
      </w:r>
      <w:r>
        <w:rPr>
          <w:rFonts w:hAnsi="仿宋_GB2312" w:cs="仿宋_GB2312"/>
          <w:b/>
          <w:sz w:val="28"/>
          <w:szCs w:val="28"/>
        </w:rPr>
        <w:t xml:space="preserve">    </w:t>
      </w:r>
      <w:r>
        <w:rPr>
          <w:rFonts w:hint="eastAsia" w:hAnsi="仿宋_GB2312" w:cs="仿宋_GB2312"/>
          <w:b/>
          <w:sz w:val="28"/>
          <w:szCs w:val="28"/>
        </w:rPr>
        <w:t>月</w:t>
      </w:r>
      <w:r>
        <w:rPr>
          <w:rFonts w:hAnsi="仿宋_GB2312" w:cs="仿宋_GB2312"/>
          <w:b/>
          <w:sz w:val="28"/>
          <w:szCs w:val="28"/>
        </w:rPr>
        <w:t xml:space="preserve">    </w:t>
      </w:r>
      <w:r>
        <w:rPr>
          <w:rFonts w:hint="eastAsia"/>
          <w:b/>
          <w:sz w:val="28"/>
          <w:szCs w:val="28"/>
        </w:rPr>
        <w:t>日</w:t>
      </w:r>
    </w:p>
    <w:p>
      <w:pPr>
        <w:spacing w:line="360" w:lineRule="auto"/>
        <w:jc w:val="center"/>
        <w:rPr>
          <w:rFonts w:asciiTheme="minorEastAsia" w:hAnsiTheme="minorEastAsia" w:eastAsiaTheme="minorEastAsia"/>
          <w:b/>
          <w:color w:val="000000"/>
          <w:sz w:val="28"/>
          <w:szCs w:val="28"/>
        </w:rPr>
      </w:pPr>
    </w:p>
    <w:sectPr>
      <w:headerReference r:id="rId3" w:type="default"/>
      <w:footerReference r:id="rId4" w:type="default"/>
      <w:pgSz w:w="11906" w:h="16838"/>
      <w:pgMar w:top="1021" w:right="124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3" o:spid="_x0000_s16385"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7D88DC"/>
    <w:multiLevelType w:val="singleLevel"/>
    <w:tmpl w:val="537D88DC"/>
    <w:lvl w:ilvl="0" w:tentative="0">
      <w:start w:val="1"/>
      <w:numFmt w:val="decimal"/>
      <w:lvlText w:val="%1."/>
      <w:lvlJc w:val="left"/>
      <w:pPr>
        <w:tabs>
          <w:tab w:val="left" w:pos="425"/>
        </w:tabs>
        <w:ind w:left="42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6"/>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YyMTM4ZGU3MWQwN2EyYTZkMGU0ZDZlZjNlZjkwYzAifQ=="/>
  </w:docVars>
  <w:rsids>
    <w:rsidRoot w:val="00131DE6"/>
    <w:rsid w:val="00014135"/>
    <w:rsid w:val="000178BE"/>
    <w:rsid w:val="00021591"/>
    <w:rsid w:val="0002400C"/>
    <w:rsid w:val="00027AFE"/>
    <w:rsid w:val="00045630"/>
    <w:rsid w:val="00051EF7"/>
    <w:rsid w:val="00055E0B"/>
    <w:rsid w:val="00056304"/>
    <w:rsid w:val="000569EF"/>
    <w:rsid w:val="000611B5"/>
    <w:rsid w:val="00071940"/>
    <w:rsid w:val="00071E41"/>
    <w:rsid w:val="000748E0"/>
    <w:rsid w:val="000834A4"/>
    <w:rsid w:val="00084985"/>
    <w:rsid w:val="00087AAD"/>
    <w:rsid w:val="000A046C"/>
    <w:rsid w:val="000A0A35"/>
    <w:rsid w:val="000A4A55"/>
    <w:rsid w:val="000A62CF"/>
    <w:rsid w:val="000B3045"/>
    <w:rsid w:val="000C2830"/>
    <w:rsid w:val="000C6E8F"/>
    <w:rsid w:val="000D15BF"/>
    <w:rsid w:val="000D5247"/>
    <w:rsid w:val="000D6F08"/>
    <w:rsid w:val="000E47C6"/>
    <w:rsid w:val="000E4E81"/>
    <w:rsid w:val="000E5164"/>
    <w:rsid w:val="000F0524"/>
    <w:rsid w:val="000F2AB1"/>
    <w:rsid w:val="000F3963"/>
    <w:rsid w:val="000F40D8"/>
    <w:rsid w:val="000F5744"/>
    <w:rsid w:val="001008FC"/>
    <w:rsid w:val="00103E21"/>
    <w:rsid w:val="001045CD"/>
    <w:rsid w:val="00104C4B"/>
    <w:rsid w:val="00116DC4"/>
    <w:rsid w:val="00121A25"/>
    <w:rsid w:val="00131C79"/>
    <w:rsid w:val="00131DE6"/>
    <w:rsid w:val="00133811"/>
    <w:rsid w:val="00133E1F"/>
    <w:rsid w:val="00136B60"/>
    <w:rsid w:val="001451FD"/>
    <w:rsid w:val="00152476"/>
    <w:rsid w:val="00152729"/>
    <w:rsid w:val="00153852"/>
    <w:rsid w:val="001545A9"/>
    <w:rsid w:val="00167491"/>
    <w:rsid w:val="0016772A"/>
    <w:rsid w:val="00174ADC"/>
    <w:rsid w:val="00174F7E"/>
    <w:rsid w:val="00182991"/>
    <w:rsid w:val="00183A05"/>
    <w:rsid w:val="00184353"/>
    <w:rsid w:val="00186182"/>
    <w:rsid w:val="001864D1"/>
    <w:rsid w:val="00186714"/>
    <w:rsid w:val="00186DA0"/>
    <w:rsid w:val="001A04E9"/>
    <w:rsid w:val="001C0D6F"/>
    <w:rsid w:val="001D3041"/>
    <w:rsid w:val="001D3919"/>
    <w:rsid w:val="001D6F2F"/>
    <w:rsid w:val="001F10C5"/>
    <w:rsid w:val="001F6325"/>
    <w:rsid w:val="002041DC"/>
    <w:rsid w:val="002113D4"/>
    <w:rsid w:val="00216336"/>
    <w:rsid w:val="00217298"/>
    <w:rsid w:val="002212D6"/>
    <w:rsid w:val="0022747F"/>
    <w:rsid w:val="002358EE"/>
    <w:rsid w:val="00235D48"/>
    <w:rsid w:val="002502DD"/>
    <w:rsid w:val="002558A6"/>
    <w:rsid w:val="00255C7A"/>
    <w:rsid w:val="00261B9D"/>
    <w:rsid w:val="002638BB"/>
    <w:rsid w:val="00266D94"/>
    <w:rsid w:val="002707AA"/>
    <w:rsid w:val="002A04A2"/>
    <w:rsid w:val="002B0110"/>
    <w:rsid w:val="002B2B52"/>
    <w:rsid w:val="002B368C"/>
    <w:rsid w:val="002E5530"/>
    <w:rsid w:val="002F2989"/>
    <w:rsid w:val="0030201D"/>
    <w:rsid w:val="00302DEF"/>
    <w:rsid w:val="003065A1"/>
    <w:rsid w:val="00314B1C"/>
    <w:rsid w:val="00323A5A"/>
    <w:rsid w:val="003316A0"/>
    <w:rsid w:val="00332D55"/>
    <w:rsid w:val="003404D0"/>
    <w:rsid w:val="003456C2"/>
    <w:rsid w:val="00346E57"/>
    <w:rsid w:val="003519BF"/>
    <w:rsid w:val="00353BA6"/>
    <w:rsid w:val="0035457F"/>
    <w:rsid w:val="0036412D"/>
    <w:rsid w:val="0036633F"/>
    <w:rsid w:val="00373098"/>
    <w:rsid w:val="00376BEF"/>
    <w:rsid w:val="003807F8"/>
    <w:rsid w:val="00386E4D"/>
    <w:rsid w:val="003C1DA2"/>
    <w:rsid w:val="003C638F"/>
    <w:rsid w:val="003C754A"/>
    <w:rsid w:val="003D0546"/>
    <w:rsid w:val="003D0EE7"/>
    <w:rsid w:val="003E4362"/>
    <w:rsid w:val="003E4656"/>
    <w:rsid w:val="003E4868"/>
    <w:rsid w:val="003E5ADC"/>
    <w:rsid w:val="003E7193"/>
    <w:rsid w:val="00403DF7"/>
    <w:rsid w:val="00413150"/>
    <w:rsid w:val="00424A17"/>
    <w:rsid w:val="00427645"/>
    <w:rsid w:val="00430673"/>
    <w:rsid w:val="00433140"/>
    <w:rsid w:val="00442EA1"/>
    <w:rsid w:val="00443C70"/>
    <w:rsid w:val="00474C3C"/>
    <w:rsid w:val="00482EE2"/>
    <w:rsid w:val="00483417"/>
    <w:rsid w:val="00486657"/>
    <w:rsid w:val="004947F3"/>
    <w:rsid w:val="00496C68"/>
    <w:rsid w:val="00497D93"/>
    <w:rsid w:val="004A1D8C"/>
    <w:rsid w:val="004A4398"/>
    <w:rsid w:val="004A4A3F"/>
    <w:rsid w:val="004A791D"/>
    <w:rsid w:val="004B149A"/>
    <w:rsid w:val="004B4988"/>
    <w:rsid w:val="004B6A94"/>
    <w:rsid w:val="004C2D36"/>
    <w:rsid w:val="004C44E7"/>
    <w:rsid w:val="004D4701"/>
    <w:rsid w:val="004D7F23"/>
    <w:rsid w:val="004E5A24"/>
    <w:rsid w:val="004E675E"/>
    <w:rsid w:val="004F4626"/>
    <w:rsid w:val="004F588A"/>
    <w:rsid w:val="004F5DB0"/>
    <w:rsid w:val="00503E2E"/>
    <w:rsid w:val="00506030"/>
    <w:rsid w:val="00512835"/>
    <w:rsid w:val="005168DF"/>
    <w:rsid w:val="00530A07"/>
    <w:rsid w:val="00533B3F"/>
    <w:rsid w:val="00535048"/>
    <w:rsid w:val="00535185"/>
    <w:rsid w:val="00535811"/>
    <w:rsid w:val="00552F9F"/>
    <w:rsid w:val="0055555D"/>
    <w:rsid w:val="0055609B"/>
    <w:rsid w:val="0056583B"/>
    <w:rsid w:val="00582E98"/>
    <w:rsid w:val="00584DFA"/>
    <w:rsid w:val="005856FD"/>
    <w:rsid w:val="00587A31"/>
    <w:rsid w:val="005938EB"/>
    <w:rsid w:val="005A01A4"/>
    <w:rsid w:val="005A26F7"/>
    <w:rsid w:val="005A5262"/>
    <w:rsid w:val="005A71E0"/>
    <w:rsid w:val="005A7F44"/>
    <w:rsid w:val="005B22F0"/>
    <w:rsid w:val="005B5677"/>
    <w:rsid w:val="005C03AC"/>
    <w:rsid w:val="005C4096"/>
    <w:rsid w:val="005C4CDF"/>
    <w:rsid w:val="005C510C"/>
    <w:rsid w:val="005E3177"/>
    <w:rsid w:val="005F0E55"/>
    <w:rsid w:val="005F6D03"/>
    <w:rsid w:val="00601888"/>
    <w:rsid w:val="006033A7"/>
    <w:rsid w:val="00604751"/>
    <w:rsid w:val="006056AF"/>
    <w:rsid w:val="00605E75"/>
    <w:rsid w:val="006126E9"/>
    <w:rsid w:val="006202A9"/>
    <w:rsid w:val="00621D9A"/>
    <w:rsid w:val="00622377"/>
    <w:rsid w:val="00627B26"/>
    <w:rsid w:val="00627B47"/>
    <w:rsid w:val="006403FB"/>
    <w:rsid w:val="00640661"/>
    <w:rsid w:val="00642679"/>
    <w:rsid w:val="0064766A"/>
    <w:rsid w:val="00655D3A"/>
    <w:rsid w:val="00662C54"/>
    <w:rsid w:val="00670531"/>
    <w:rsid w:val="0068073C"/>
    <w:rsid w:val="00682390"/>
    <w:rsid w:val="00685C7B"/>
    <w:rsid w:val="006951DA"/>
    <w:rsid w:val="006A29B9"/>
    <w:rsid w:val="006A774E"/>
    <w:rsid w:val="006B2240"/>
    <w:rsid w:val="006E5E37"/>
    <w:rsid w:val="006E5FD3"/>
    <w:rsid w:val="006E62D7"/>
    <w:rsid w:val="006F2219"/>
    <w:rsid w:val="006F5AB5"/>
    <w:rsid w:val="006F7348"/>
    <w:rsid w:val="0070051E"/>
    <w:rsid w:val="007067FF"/>
    <w:rsid w:val="0071036A"/>
    <w:rsid w:val="0071052B"/>
    <w:rsid w:val="0071370F"/>
    <w:rsid w:val="00713E08"/>
    <w:rsid w:val="00714631"/>
    <w:rsid w:val="0071735A"/>
    <w:rsid w:val="00717EC0"/>
    <w:rsid w:val="00720781"/>
    <w:rsid w:val="00724EDA"/>
    <w:rsid w:val="00731DEA"/>
    <w:rsid w:val="007440F7"/>
    <w:rsid w:val="007550A3"/>
    <w:rsid w:val="007621BB"/>
    <w:rsid w:val="007666F7"/>
    <w:rsid w:val="00770463"/>
    <w:rsid w:val="00776666"/>
    <w:rsid w:val="0078652F"/>
    <w:rsid w:val="00793990"/>
    <w:rsid w:val="007A01E4"/>
    <w:rsid w:val="007A29B8"/>
    <w:rsid w:val="007A2E80"/>
    <w:rsid w:val="007A34DB"/>
    <w:rsid w:val="007B7374"/>
    <w:rsid w:val="007C4294"/>
    <w:rsid w:val="007C75B8"/>
    <w:rsid w:val="007D1DF2"/>
    <w:rsid w:val="007E783E"/>
    <w:rsid w:val="007F26E1"/>
    <w:rsid w:val="00801B7B"/>
    <w:rsid w:val="008070BF"/>
    <w:rsid w:val="00812E1A"/>
    <w:rsid w:val="008270AC"/>
    <w:rsid w:val="00827CF3"/>
    <w:rsid w:val="0083032E"/>
    <w:rsid w:val="008357C6"/>
    <w:rsid w:val="00843F8B"/>
    <w:rsid w:val="00845EE6"/>
    <w:rsid w:val="008506B2"/>
    <w:rsid w:val="008506D9"/>
    <w:rsid w:val="00852967"/>
    <w:rsid w:val="00872A4C"/>
    <w:rsid w:val="00873B2E"/>
    <w:rsid w:val="00875F9C"/>
    <w:rsid w:val="0088254C"/>
    <w:rsid w:val="00882FA7"/>
    <w:rsid w:val="00894138"/>
    <w:rsid w:val="00897BF1"/>
    <w:rsid w:val="00897ED7"/>
    <w:rsid w:val="008A5226"/>
    <w:rsid w:val="008C2CBC"/>
    <w:rsid w:val="008D033A"/>
    <w:rsid w:val="008D215A"/>
    <w:rsid w:val="008D48BC"/>
    <w:rsid w:val="008F62FE"/>
    <w:rsid w:val="008F7468"/>
    <w:rsid w:val="009053AC"/>
    <w:rsid w:val="009060DE"/>
    <w:rsid w:val="0090653A"/>
    <w:rsid w:val="00911FBC"/>
    <w:rsid w:val="009144AB"/>
    <w:rsid w:val="00916528"/>
    <w:rsid w:val="00920D56"/>
    <w:rsid w:val="0092362C"/>
    <w:rsid w:val="00923E72"/>
    <w:rsid w:val="00931098"/>
    <w:rsid w:val="00933897"/>
    <w:rsid w:val="009524E0"/>
    <w:rsid w:val="00954EEC"/>
    <w:rsid w:val="00964986"/>
    <w:rsid w:val="0097589A"/>
    <w:rsid w:val="00975984"/>
    <w:rsid w:val="00982146"/>
    <w:rsid w:val="009829C1"/>
    <w:rsid w:val="00986054"/>
    <w:rsid w:val="00986FDB"/>
    <w:rsid w:val="00987B43"/>
    <w:rsid w:val="00996984"/>
    <w:rsid w:val="009A3201"/>
    <w:rsid w:val="009A7C17"/>
    <w:rsid w:val="009B3E03"/>
    <w:rsid w:val="009C29B8"/>
    <w:rsid w:val="009C7312"/>
    <w:rsid w:val="009D0D19"/>
    <w:rsid w:val="009E4B3F"/>
    <w:rsid w:val="009E7373"/>
    <w:rsid w:val="009E769B"/>
    <w:rsid w:val="009E78C8"/>
    <w:rsid w:val="009F4F20"/>
    <w:rsid w:val="00A012C1"/>
    <w:rsid w:val="00A04179"/>
    <w:rsid w:val="00A103C4"/>
    <w:rsid w:val="00A1137A"/>
    <w:rsid w:val="00A11E1E"/>
    <w:rsid w:val="00A33873"/>
    <w:rsid w:val="00A352DB"/>
    <w:rsid w:val="00A4602D"/>
    <w:rsid w:val="00A47DE4"/>
    <w:rsid w:val="00A51CF0"/>
    <w:rsid w:val="00A53E1C"/>
    <w:rsid w:val="00A6653D"/>
    <w:rsid w:val="00A7228E"/>
    <w:rsid w:val="00A763DC"/>
    <w:rsid w:val="00A9178D"/>
    <w:rsid w:val="00AA3004"/>
    <w:rsid w:val="00AB4702"/>
    <w:rsid w:val="00AB6545"/>
    <w:rsid w:val="00AC44BD"/>
    <w:rsid w:val="00AC75F8"/>
    <w:rsid w:val="00AD2A08"/>
    <w:rsid w:val="00AE4C74"/>
    <w:rsid w:val="00AE4DF8"/>
    <w:rsid w:val="00AE5F12"/>
    <w:rsid w:val="00AF34C2"/>
    <w:rsid w:val="00AF6EF8"/>
    <w:rsid w:val="00B00ADF"/>
    <w:rsid w:val="00B00BD4"/>
    <w:rsid w:val="00B043C1"/>
    <w:rsid w:val="00B05075"/>
    <w:rsid w:val="00B05D21"/>
    <w:rsid w:val="00B06CFB"/>
    <w:rsid w:val="00B17A1E"/>
    <w:rsid w:val="00B2410C"/>
    <w:rsid w:val="00B31C0A"/>
    <w:rsid w:val="00B3374E"/>
    <w:rsid w:val="00B417C5"/>
    <w:rsid w:val="00B47CF9"/>
    <w:rsid w:val="00B51F96"/>
    <w:rsid w:val="00B52ECF"/>
    <w:rsid w:val="00B60FE1"/>
    <w:rsid w:val="00B71A29"/>
    <w:rsid w:val="00B84AC7"/>
    <w:rsid w:val="00B90F3F"/>
    <w:rsid w:val="00B94DAE"/>
    <w:rsid w:val="00BA3D87"/>
    <w:rsid w:val="00BA4C4B"/>
    <w:rsid w:val="00BA5B30"/>
    <w:rsid w:val="00BB3368"/>
    <w:rsid w:val="00BB3966"/>
    <w:rsid w:val="00BB438B"/>
    <w:rsid w:val="00BB5C79"/>
    <w:rsid w:val="00BB6CBC"/>
    <w:rsid w:val="00BB7A1C"/>
    <w:rsid w:val="00BC6F1C"/>
    <w:rsid w:val="00BE22D6"/>
    <w:rsid w:val="00BE521F"/>
    <w:rsid w:val="00BE5E75"/>
    <w:rsid w:val="00C003BD"/>
    <w:rsid w:val="00C07EA0"/>
    <w:rsid w:val="00C1100A"/>
    <w:rsid w:val="00C20B17"/>
    <w:rsid w:val="00C21ECD"/>
    <w:rsid w:val="00C323C4"/>
    <w:rsid w:val="00C331D8"/>
    <w:rsid w:val="00C33860"/>
    <w:rsid w:val="00C359A3"/>
    <w:rsid w:val="00C475F7"/>
    <w:rsid w:val="00C50E52"/>
    <w:rsid w:val="00C51CA6"/>
    <w:rsid w:val="00C535B0"/>
    <w:rsid w:val="00C5481F"/>
    <w:rsid w:val="00C57F19"/>
    <w:rsid w:val="00C60A2F"/>
    <w:rsid w:val="00C72F3D"/>
    <w:rsid w:val="00C74F2B"/>
    <w:rsid w:val="00C75585"/>
    <w:rsid w:val="00C76204"/>
    <w:rsid w:val="00C8164C"/>
    <w:rsid w:val="00C9704D"/>
    <w:rsid w:val="00CA1D73"/>
    <w:rsid w:val="00CB0166"/>
    <w:rsid w:val="00CB0A1E"/>
    <w:rsid w:val="00CC0000"/>
    <w:rsid w:val="00CC2CD9"/>
    <w:rsid w:val="00CC4746"/>
    <w:rsid w:val="00CD2B26"/>
    <w:rsid w:val="00CD7108"/>
    <w:rsid w:val="00CE1456"/>
    <w:rsid w:val="00CE2478"/>
    <w:rsid w:val="00CF0809"/>
    <w:rsid w:val="00CF240C"/>
    <w:rsid w:val="00D01090"/>
    <w:rsid w:val="00D060B3"/>
    <w:rsid w:val="00D12659"/>
    <w:rsid w:val="00D327B8"/>
    <w:rsid w:val="00D47380"/>
    <w:rsid w:val="00D53E94"/>
    <w:rsid w:val="00D5623A"/>
    <w:rsid w:val="00D63522"/>
    <w:rsid w:val="00D63A0F"/>
    <w:rsid w:val="00D77117"/>
    <w:rsid w:val="00D77D6B"/>
    <w:rsid w:val="00D81E1E"/>
    <w:rsid w:val="00D83649"/>
    <w:rsid w:val="00D84E2C"/>
    <w:rsid w:val="00D968AB"/>
    <w:rsid w:val="00D96C98"/>
    <w:rsid w:val="00D96F14"/>
    <w:rsid w:val="00DC0C21"/>
    <w:rsid w:val="00DE5766"/>
    <w:rsid w:val="00DE6EAE"/>
    <w:rsid w:val="00DF1722"/>
    <w:rsid w:val="00DF5AC5"/>
    <w:rsid w:val="00DF5CB5"/>
    <w:rsid w:val="00DF6B67"/>
    <w:rsid w:val="00E153C4"/>
    <w:rsid w:val="00E16BC5"/>
    <w:rsid w:val="00E17509"/>
    <w:rsid w:val="00E24039"/>
    <w:rsid w:val="00E24EB7"/>
    <w:rsid w:val="00E25B5B"/>
    <w:rsid w:val="00E26F19"/>
    <w:rsid w:val="00E36573"/>
    <w:rsid w:val="00E40B90"/>
    <w:rsid w:val="00E5038D"/>
    <w:rsid w:val="00E54B75"/>
    <w:rsid w:val="00E634E6"/>
    <w:rsid w:val="00E64280"/>
    <w:rsid w:val="00E67D0E"/>
    <w:rsid w:val="00E67FFC"/>
    <w:rsid w:val="00E730C3"/>
    <w:rsid w:val="00E85934"/>
    <w:rsid w:val="00E921C5"/>
    <w:rsid w:val="00E971E2"/>
    <w:rsid w:val="00EA332B"/>
    <w:rsid w:val="00EA33D9"/>
    <w:rsid w:val="00EA3746"/>
    <w:rsid w:val="00EB1CBA"/>
    <w:rsid w:val="00EC098B"/>
    <w:rsid w:val="00EC5061"/>
    <w:rsid w:val="00EC7952"/>
    <w:rsid w:val="00ED077A"/>
    <w:rsid w:val="00EE0F8F"/>
    <w:rsid w:val="00EF17A0"/>
    <w:rsid w:val="00EF20B5"/>
    <w:rsid w:val="00EF29BE"/>
    <w:rsid w:val="00EF7A27"/>
    <w:rsid w:val="00F10D0C"/>
    <w:rsid w:val="00F116F6"/>
    <w:rsid w:val="00F129B4"/>
    <w:rsid w:val="00F355C9"/>
    <w:rsid w:val="00F35946"/>
    <w:rsid w:val="00F374B0"/>
    <w:rsid w:val="00F411F3"/>
    <w:rsid w:val="00F452FD"/>
    <w:rsid w:val="00F47549"/>
    <w:rsid w:val="00F70AAC"/>
    <w:rsid w:val="00F80E6F"/>
    <w:rsid w:val="00F82D79"/>
    <w:rsid w:val="00FA194C"/>
    <w:rsid w:val="00FB1DEC"/>
    <w:rsid w:val="00FC2DE7"/>
    <w:rsid w:val="00FC4BCC"/>
    <w:rsid w:val="00FC6A0A"/>
    <w:rsid w:val="00FD4C05"/>
    <w:rsid w:val="00FE421A"/>
    <w:rsid w:val="00FF01B2"/>
    <w:rsid w:val="00FF269B"/>
    <w:rsid w:val="00FF5068"/>
    <w:rsid w:val="11CF3D2B"/>
    <w:rsid w:val="2DD95EF2"/>
    <w:rsid w:val="4C2245E2"/>
    <w:rsid w:val="5CDE74CE"/>
    <w:rsid w:val="6CA06CB5"/>
    <w:rsid w:val="6D01306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pPr>
      <w:spacing w:after="120"/>
    </w:pPr>
    <w:rPr>
      <w:rFonts w:ascii="Times New Roman" w:hAnsi="Times New Roman"/>
      <w:szCs w:val="20"/>
    </w:rPr>
  </w:style>
  <w:style w:type="paragraph" w:styleId="3">
    <w:name w:val="Body Text Indent"/>
    <w:basedOn w:val="1"/>
    <w:link w:val="17"/>
    <w:qFormat/>
    <w:uiPriority w:val="99"/>
    <w:pPr>
      <w:spacing w:after="120"/>
      <w:ind w:left="420" w:leftChars="200"/>
    </w:pPr>
  </w:style>
  <w:style w:type="paragraph" w:styleId="4">
    <w:name w:val="Date"/>
    <w:basedOn w:val="1"/>
    <w:next w:val="1"/>
    <w:link w:val="22"/>
    <w:semiHidden/>
    <w:unhideWhenUsed/>
    <w:qFormat/>
    <w:uiPriority w:val="99"/>
    <w:pPr>
      <w:ind w:left="100" w:leftChars="2500"/>
    </w:pPr>
  </w:style>
  <w:style w:type="paragraph" w:styleId="5">
    <w:name w:val="Body Text Indent 2"/>
    <w:basedOn w:val="1"/>
    <w:link w:val="19"/>
    <w:uiPriority w:val="0"/>
    <w:pPr>
      <w:spacing w:after="120" w:line="480" w:lineRule="auto"/>
      <w:ind w:left="420" w:leftChars="200"/>
    </w:pPr>
    <w:rPr>
      <w:szCs w:val="20"/>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99"/>
    <w:rPr>
      <w:color w:val="0000FF"/>
      <w:u w:val="single"/>
    </w:rPr>
  </w:style>
  <w:style w:type="character" w:customStyle="1" w:styleId="11">
    <w:name w:val="页眉 Char"/>
    <w:basedOn w:val="9"/>
    <w:link w:val="7"/>
    <w:locked/>
    <w:uiPriority w:val="0"/>
    <w:rPr>
      <w:rFonts w:ascii="Calibri" w:hAnsi="Calibri" w:eastAsia="宋体" w:cs="Times New Roman"/>
      <w:sz w:val="18"/>
      <w:szCs w:val="18"/>
    </w:rPr>
  </w:style>
  <w:style w:type="character" w:customStyle="1" w:styleId="12">
    <w:name w:val="页脚 Char"/>
    <w:basedOn w:val="9"/>
    <w:link w:val="6"/>
    <w:qFormat/>
    <w:locked/>
    <w:uiPriority w:val="0"/>
    <w:rPr>
      <w:rFonts w:ascii="Calibri" w:hAnsi="Calibri" w:eastAsia="宋体" w:cs="Times New Roman"/>
      <w:sz w:val="18"/>
      <w:szCs w:val="18"/>
    </w:rPr>
  </w:style>
  <w:style w:type="paragraph" w:styleId="13">
    <w:name w:val="List Paragraph"/>
    <w:basedOn w:val="1"/>
    <w:qFormat/>
    <w:uiPriority w:val="99"/>
    <w:pPr>
      <w:ind w:firstLine="420" w:firstLineChars="200"/>
    </w:pPr>
  </w:style>
  <w:style w:type="character" w:customStyle="1" w:styleId="14">
    <w:name w:val="Body Text Char"/>
    <w:basedOn w:val="9"/>
    <w:link w:val="2"/>
    <w:semiHidden/>
    <w:qFormat/>
    <w:uiPriority w:val="99"/>
  </w:style>
  <w:style w:type="character" w:customStyle="1" w:styleId="15">
    <w:name w:val="正文文本 Char"/>
    <w:basedOn w:val="9"/>
    <w:link w:val="2"/>
    <w:qFormat/>
    <w:locked/>
    <w:uiPriority w:val="0"/>
    <w:rPr>
      <w:rFonts w:eastAsia="宋体" w:cs="Times New Roman"/>
      <w:kern w:val="2"/>
      <w:sz w:val="21"/>
      <w:lang w:val="en-US" w:eastAsia="zh-CN" w:bidi="ar-SA"/>
    </w:rPr>
  </w:style>
  <w:style w:type="character" w:customStyle="1" w:styleId="16">
    <w:name w:val="Char Char2"/>
    <w:qFormat/>
    <w:uiPriority w:val="99"/>
    <w:rPr>
      <w:rFonts w:eastAsia="宋体"/>
      <w:kern w:val="2"/>
      <w:sz w:val="21"/>
      <w:lang w:val="en-US" w:eastAsia="zh-CN"/>
    </w:rPr>
  </w:style>
  <w:style w:type="character" w:customStyle="1" w:styleId="17">
    <w:name w:val="正文文本缩进 Char"/>
    <w:basedOn w:val="9"/>
    <w:link w:val="3"/>
    <w:semiHidden/>
    <w:qFormat/>
    <w:uiPriority w:val="99"/>
  </w:style>
  <w:style w:type="character" w:customStyle="1" w:styleId="18">
    <w:name w:val="正文文本缩进 2 Char1"/>
    <w:link w:val="5"/>
    <w:qFormat/>
    <w:locked/>
    <w:uiPriority w:val="0"/>
    <w:rPr>
      <w:kern w:val="2"/>
      <w:sz w:val="21"/>
    </w:rPr>
  </w:style>
  <w:style w:type="character" w:customStyle="1" w:styleId="19">
    <w:name w:val="正文文本缩进 2 Char"/>
    <w:basedOn w:val="9"/>
    <w:link w:val="5"/>
    <w:semiHidden/>
    <w:qFormat/>
    <w:uiPriority w:val="99"/>
    <w:rPr>
      <w:kern w:val="2"/>
      <w:sz w:val="21"/>
      <w:szCs w:val="22"/>
    </w:rPr>
  </w:style>
  <w:style w:type="paragraph" w:customStyle="1" w:styleId="20">
    <w:name w:val="列出段落1"/>
    <w:basedOn w:val="1"/>
    <w:qFormat/>
    <w:uiPriority w:val="0"/>
    <w:pPr>
      <w:ind w:firstLine="420" w:firstLineChars="200"/>
    </w:pPr>
    <w:rPr>
      <w:rFonts w:ascii="Times New Roman" w:hAnsi="Times New Roman"/>
      <w:szCs w:val="20"/>
    </w:rPr>
  </w:style>
  <w:style w:type="paragraph" w:customStyle="1" w:styleId="21">
    <w:name w:val="Char"/>
    <w:basedOn w:val="1"/>
    <w:qFormat/>
    <w:uiPriority w:val="0"/>
    <w:rPr>
      <w:rFonts w:ascii="Tahoma" w:hAnsi="Tahoma"/>
      <w:szCs w:val="20"/>
    </w:rPr>
  </w:style>
  <w:style w:type="character" w:customStyle="1" w:styleId="22">
    <w:name w:val="日期 Char"/>
    <w:basedOn w:val="9"/>
    <w:link w:val="4"/>
    <w:semiHidden/>
    <w:qFormat/>
    <w:uiPriority w:val="99"/>
    <w:rPr>
      <w:kern w:val="2"/>
      <w:sz w:val="21"/>
      <w:szCs w:val="22"/>
    </w:rPr>
  </w:style>
  <w:style w:type="paragraph" w:customStyle="1" w:styleId="23">
    <w:name w:val="Char1"/>
    <w:basedOn w:val="1"/>
    <w:qFormat/>
    <w:uiPriority w:val="0"/>
    <w:rPr>
      <w:rFonts w:ascii="Tahoma" w:hAnsi="Tahoma"/>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63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6383</Words>
  <Characters>6455</Characters>
  <Lines>53</Lines>
  <Paragraphs>15</Paragraphs>
  <TotalTime>1</TotalTime>
  <ScaleCrop>false</ScaleCrop>
  <LinksUpToDate>false</LinksUpToDate>
  <CharactersWithSpaces>7041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2015-07-08T02:31:00Z</dcterms:created>
  <dc:creator>NTKO</dc:creator>
  <cp:lastModifiedBy>鹏翰</cp:lastModifiedBy>
  <cp:lastPrinted>2021-11-04T05:05:00Z</cp:lastPrinted>
  <dcterms:modified xsi:type="dcterms:W3CDTF">2022-06-16T01:12:16Z</dcterms:modified>
  <cp:revision>299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26F313D9D9A64F9C9B7E604242DB98D0</vt:lpwstr>
  </property>
</Properties>
</file>