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ascii="Times New Roman"/>
          <w:sz w:val="13"/>
        </w:rPr>
      </w:pPr>
    </w:p>
    <w:p>
      <w:pPr>
        <w:pStyle w:val="2"/>
        <w:spacing w:before="43" w:line="285" w:lineRule="auto"/>
        <w:ind w:left="600" w:right="4479"/>
      </w:pPr>
      <w:r>
        <w:rPr>
          <w:color w:val="231F20"/>
        </w:rPr>
        <w:t>已获得资格确认的意向受让方，可登录北交互联参与网络竞价。1 进入竞价室</w:t>
      </w:r>
    </w:p>
    <w:p>
      <w:pPr>
        <w:pStyle w:val="2"/>
        <w:spacing w:before="17" w:line="228" w:lineRule="auto"/>
        <w:ind w:left="140" w:right="338" w:firstLine="459"/>
      </w:pPr>
      <w:r>
        <w:rPr>
          <w:color w:val="231F20"/>
        </w:rPr>
        <w:t>在浏览器中输入北交互联网址https://otc.cbex.com，输入用户名、密码及验证码登录（登录身份分为个人登录和企业登录，请对应选择）。</w:t>
      </w:r>
    </w:p>
    <w:p>
      <w:pPr>
        <w:pStyle w:val="2"/>
        <w:spacing w:before="8"/>
        <w:rPr>
          <w:sz w:val="8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444500</wp:posOffset>
            </wp:positionH>
            <wp:positionV relativeFrom="paragraph">
              <wp:posOffset>123825</wp:posOffset>
            </wp:positionV>
            <wp:extent cx="6633845" cy="43554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658" cy="4355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"/>
        <w:rPr>
          <w:sz w:val="14"/>
        </w:rPr>
      </w:pPr>
    </w:p>
    <w:p>
      <w:pPr>
        <w:pStyle w:val="2"/>
        <w:ind w:left="600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335280</wp:posOffset>
            </wp:positionV>
            <wp:extent cx="6589395" cy="33845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575" cy="338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登录成功后，请点击页面右上方【个人中心】，在左侧菜单栏目找到【竞价室】并点击进入。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11910" w:h="16840"/>
          <w:pgMar w:top="1180" w:right="340" w:bottom="360" w:left="320" w:header="572" w:footer="164" w:gutter="0"/>
        </w:sectPr>
      </w:pPr>
    </w:p>
    <w:p>
      <w:pPr>
        <w:pStyle w:val="2"/>
        <w:spacing w:before="15"/>
        <w:rPr>
          <w:sz w:val="12"/>
        </w:rPr>
      </w:pPr>
    </w:p>
    <w:p>
      <w:pPr>
        <w:pStyle w:val="2"/>
        <w:spacing w:before="57" w:line="228" w:lineRule="auto"/>
        <w:ind w:left="116" w:right="99" w:firstLine="459"/>
        <w:jc w:val="both"/>
      </w:pPr>
      <w:r>
        <w:rPr>
          <w:color w:val="231F20"/>
        </w:rPr>
        <w:t>【竞价室】内项目资产类型分为：产权转让、资产转让、房屋租赁及模拟竞价，产权转让、资产转让和房屋租赁类型为正式的竞价项目，请您根据您所报项目的类型正确选择；模拟竞价是正式竞价前为方便竞买人熟悉竞价操作流程而设置的，同时适用于产权转让、资产转让及房屋租赁。请务必参加模拟竞价，以便发现问题及时联系相关工作人员解决。</w:t>
      </w:r>
      <w:bookmarkStart w:id="0" w:name="_GoBack"/>
      <w:bookmarkEnd w:id="0"/>
    </w:p>
    <w:p>
      <w:pPr>
        <w:pStyle w:val="2"/>
        <w:spacing w:before="80"/>
        <w:ind w:left="576"/>
      </w:pPr>
      <w:r>
        <w:rPr>
          <w:color w:val="231F20"/>
        </w:rPr>
        <w:t>项目竞价阶段为"已结束"时，不能参与竞价；</w:t>
      </w:r>
    </w:p>
    <w:p>
      <w:pPr>
        <w:pStyle w:val="2"/>
        <w:spacing w:before="79" w:line="395" w:lineRule="exact"/>
        <w:ind w:left="576"/>
      </w:pPr>
      <w:r>
        <w:rPr>
          <w:color w:val="231F20"/>
        </w:rPr>
        <w:t>项目竞价阶段为"等待报价"时，项目为竞价尚未开始状态，可以在竞价开始后参与竞价。当前点击【查看详情</w:t>
      </w:r>
    </w:p>
    <w:p>
      <w:pPr>
        <w:pStyle w:val="2"/>
        <w:spacing w:line="395" w:lineRule="exact"/>
        <w:ind w:left="116"/>
      </w:pPr>
      <w:r>
        <w:rPr>
          <w:color w:val="231F20"/>
        </w:rPr>
        <w:t>】可进入竞价现场查看竞价信息；</w:t>
      </w:r>
    </w:p>
    <w:p>
      <w:pPr>
        <w:pStyle w:val="2"/>
        <w:spacing w:before="78" w:line="395" w:lineRule="exact"/>
        <w:ind w:left="576"/>
      </w:pPr>
      <w:r>
        <w:rPr>
          <w:color w:val="231F20"/>
        </w:rPr>
        <w:t>项目竞价阶段为"自由竞价期"或"限时竞价期"时，该项目为竞价已开始状态，在竞价结束前，点击【我要报价</w:t>
      </w:r>
    </w:p>
    <w:p>
      <w:pPr>
        <w:pStyle w:val="2"/>
        <w:spacing w:line="285" w:lineRule="auto"/>
        <w:ind w:left="576" w:right="8925" w:hanging="460"/>
      </w:pPr>
      <w:r>
        <w:rPr>
          <w:color w:val="231F20"/>
        </w:rPr>
        <w:t>】可进入下一步操作。2 进入竞价现场</w:t>
      </w:r>
    </w:p>
    <w:p>
      <w:pPr>
        <w:pStyle w:val="2"/>
        <w:spacing w:before="7" w:line="228" w:lineRule="auto"/>
        <w:ind w:left="116" w:right="99" w:firstLine="459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527685</wp:posOffset>
            </wp:positionV>
            <wp:extent cx="6481445" cy="30403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422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点击【我要报价】后，请仔细阅读竞价承诺函，如果同意，请勾选“请勾选并同意竞价承诺函后开始竞价”选项，点击【同意】即可进入竞价现场。</w:t>
      </w:r>
    </w:p>
    <w:p>
      <w:pPr>
        <w:pStyle w:val="6"/>
        <w:numPr>
          <w:ilvl w:val="0"/>
          <w:numId w:val="1"/>
        </w:numPr>
        <w:tabs>
          <w:tab w:val="left" w:pos="771"/>
        </w:tabs>
        <w:spacing w:before="52" w:after="0" w:line="240" w:lineRule="auto"/>
        <w:ind w:left="770" w:right="0" w:hanging="195"/>
        <w:jc w:val="left"/>
        <w:rPr>
          <w:sz w:val="22"/>
        </w:rPr>
      </w:pPr>
      <w:r>
        <w:rPr>
          <w:color w:val="231F20"/>
          <w:sz w:val="22"/>
        </w:rPr>
        <w:t>竞价过程</w:t>
      </w:r>
    </w:p>
    <w:p>
      <w:pPr>
        <w:pStyle w:val="6"/>
        <w:numPr>
          <w:ilvl w:val="1"/>
          <w:numId w:val="1"/>
        </w:numPr>
        <w:tabs>
          <w:tab w:val="left" w:pos="953"/>
        </w:tabs>
        <w:spacing w:before="78" w:after="0" w:line="285" w:lineRule="auto"/>
        <w:ind w:left="642" w:right="159" w:hanging="66"/>
        <w:jc w:val="left"/>
        <w:rPr>
          <w:sz w:val="22"/>
        </w:rPr>
      </w:pPr>
      <w:r>
        <w:rPr>
          <w:color w:val="231F20"/>
          <w:sz w:val="22"/>
        </w:rPr>
        <w:t xml:space="preserve">自由竞价期                                                                                                                                        </w:t>
      </w:r>
      <w:r>
        <w:rPr>
          <w:color w:val="231F20"/>
          <w:spacing w:val="-1"/>
          <w:sz w:val="22"/>
        </w:rPr>
        <w:t>“自由竞价期”开始后，页面显示加价幅度整数倍按钮、报价按钮等，可以选择用报价输入框左右的“-”、</w:t>
      </w:r>
    </w:p>
    <w:p>
      <w:pPr>
        <w:pStyle w:val="2"/>
        <w:spacing w:line="297" w:lineRule="exact"/>
        <w:ind w:left="116"/>
      </w:pPr>
      <w:r>
        <w:rPr>
          <w:color w:val="231F20"/>
        </w:rPr>
        <w:t>“+”，加价幅度整数倍按钮或“更多加价倍数4-50倍”进行报价，您的报价金额会在报价输入框中显示，点击【</w:t>
      </w:r>
    </w:p>
    <w:p>
      <w:pPr>
        <w:pStyle w:val="2"/>
        <w:spacing w:line="395" w:lineRule="exact"/>
        <w:ind w:left="116"/>
      </w:pPr>
      <w:r>
        <w:rPr>
          <w:color w:val="231F20"/>
        </w:rPr>
        <w:t>报价】弹出报价确认框，点击【确定】且系统提示“报价成功”即报价成功。</w:t>
      </w:r>
    </w:p>
    <w:p>
      <w:pPr>
        <w:spacing w:after="0" w:line="395" w:lineRule="exact"/>
        <w:sectPr>
          <w:headerReference r:id="rId5" w:type="default"/>
          <w:pgSz w:w="11910" w:h="16840"/>
          <w:pgMar w:top="1180" w:right="340" w:bottom="380" w:left="320" w:header="655" w:footer="164" w:gutter="0"/>
        </w:sectPr>
      </w:pPr>
    </w:p>
    <w:p>
      <w:pPr>
        <w:pStyle w:val="2"/>
        <w:spacing w:before="17"/>
        <w:rPr>
          <w:sz w:val="17"/>
        </w:rPr>
      </w:pPr>
    </w:p>
    <w:p>
      <w:pPr>
        <w:pStyle w:val="2"/>
        <w:ind w:left="355"/>
        <w:rPr>
          <w:sz w:val="20"/>
        </w:rPr>
      </w:pPr>
      <w:r>
        <w:rPr>
          <w:sz w:val="20"/>
        </w:rPr>
        <w:drawing>
          <wp:inline distT="0" distB="0" distL="0" distR="0">
            <wp:extent cx="6669405" cy="386778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556" cy="386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"/>
        <w:rPr>
          <w:sz w:val="2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261620</wp:posOffset>
            </wp:positionV>
            <wp:extent cx="6743700" cy="39401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43" cy="393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"/>
        <w:rPr>
          <w:sz w:val="11"/>
        </w:rPr>
      </w:pPr>
    </w:p>
    <w:p>
      <w:pPr>
        <w:pStyle w:val="2"/>
        <w:spacing w:before="43"/>
        <w:ind w:left="570"/>
      </w:pPr>
      <w:r>
        <w:rPr>
          <w:color w:val="231F20"/>
        </w:rPr>
        <w:t>说明：报价完成后，您的报价记录会显示“我”，当前最高报价记录前显示“领先”。</w:t>
      </w:r>
    </w:p>
    <w:p>
      <w:pPr>
        <w:pStyle w:val="6"/>
        <w:numPr>
          <w:ilvl w:val="1"/>
          <w:numId w:val="1"/>
        </w:numPr>
        <w:tabs>
          <w:tab w:val="left" w:pos="947"/>
        </w:tabs>
        <w:spacing w:before="79" w:after="0" w:line="240" w:lineRule="auto"/>
        <w:ind w:left="946" w:right="0" w:hanging="377"/>
        <w:jc w:val="left"/>
        <w:rPr>
          <w:sz w:val="22"/>
        </w:rPr>
      </w:pPr>
      <w:r>
        <w:rPr>
          <w:color w:val="231F20"/>
          <w:sz w:val="22"/>
        </w:rPr>
        <w:t>限时竞价期</w:t>
      </w:r>
    </w:p>
    <w:p>
      <w:pPr>
        <w:pStyle w:val="2"/>
        <w:spacing w:before="93" w:line="228" w:lineRule="auto"/>
        <w:ind w:left="110" w:right="105" w:firstLine="459"/>
      </w:pPr>
      <w:r>
        <w:rPr>
          <w:color w:val="231F20"/>
        </w:rPr>
        <w:t>限时竞价周期内，如出现新的有效报价，则进入新的限时竞价周期；限时竞价周期内如未出现新的有效报价， 则当前最高报价方成为该次竞价活动的最高报价方。</w:t>
      </w:r>
    </w:p>
    <w:p>
      <w:pPr>
        <w:spacing w:after="0" w:line="228" w:lineRule="auto"/>
        <w:sectPr>
          <w:pgSz w:w="11910" w:h="16840"/>
          <w:pgMar w:top="1180" w:right="340" w:bottom="420" w:left="320" w:header="655" w:footer="164" w:gutter="0"/>
        </w:sectPr>
      </w:pPr>
    </w:p>
    <w:p>
      <w:pPr>
        <w:pStyle w:val="2"/>
        <w:spacing w:before="12"/>
        <w:rPr>
          <w:sz w:val="11"/>
        </w:rPr>
      </w:pPr>
    </w:p>
    <w:p>
      <w:pPr>
        <w:pStyle w:val="2"/>
        <w:ind w:left="323"/>
        <w:rPr>
          <w:sz w:val="20"/>
        </w:rPr>
      </w:pPr>
      <w:r>
        <w:rPr>
          <w:sz w:val="20"/>
        </w:rPr>
        <w:drawing>
          <wp:inline distT="0" distB="0" distL="0" distR="0">
            <wp:extent cx="6738620" cy="40862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957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rPr>
          <w:sz w:val="9"/>
        </w:rPr>
      </w:pPr>
    </w:p>
    <w:p>
      <w:pPr>
        <w:pStyle w:val="2"/>
        <w:spacing w:before="43"/>
        <w:ind w:left="536"/>
      </w:pPr>
      <w:r>
        <w:rPr>
          <w:color w:val="231F20"/>
        </w:rPr>
        <w:t>建议您在“限时竞价期”剩余时间大于20秒钟报价，以免因网络原因影响您的正常报价。</w:t>
      </w:r>
    </w:p>
    <w:p>
      <w:pPr>
        <w:pStyle w:val="6"/>
        <w:numPr>
          <w:ilvl w:val="1"/>
          <w:numId w:val="1"/>
        </w:numPr>
        <w:tabs>
          <w:tab w:val="left" w:pos="913"/>
        </w:tabs>
        <w:spacing w:before="78" w:after="0" w:line="240" w:lineRule="auto"/>
        <w:ind w:left="912" w:right="0" w:hanging="377"/>
        <w:jc w:val="left"/>
        <w:rPr>
          <w:sz w:val="22"/>
        </w:rPr>
      </w:pPr>
      <w:r>
        <w:rPr>
          <w:color w:val="231F20"/>
          <w:sz w:val="22"/>
        </w:rPr>
        <w:t>竞价结束</w:t>
      </w:r>
    </w:p>
    <w:p>
      <w:pPr>
        <w:pStyle w:val="2"/>
        <w:spacing w:before="79"/>
        <w:ind w:left="536"/>
      </w:pPr>
      <w:r>
        <w:rPr>
          <w:color w:val="231F20"/>
        </w:rPr>
        <w:t>最高报价方系统提示：本场竞价活动已结束，您是本场的最高报价方，请与工作人员联系。</w:t>
      </w:r>
    </w:p>
    <w:p>
      <w:pPr>
        <w:pStyle w:val="2"/>
        <w:spacing w:before="6"/>
        <w:rPr>
          <w:sz w:val="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414020</wp:posOffset>
            </wp:positionH>
            <wp:positionV relativeFrom="paragraph">
              <wp:posOffset>98425</wp:posOffset>
            </wp:positionV>
            <wp:extent cx="6734810" cy="397065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665" cy="3970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6"/>
        </w:rPr>
        <w:sectPr>
          <w:footerReference r:id="rId6" w:type="default"/>
          <w:pgSz w:w="11910" w:h="16840"/>
          <w:pgMar w:top="1180" w:right="340" w:bottom="420" w:left="320" w:header="655" w:footer="224" w:gutter="0"/>
        </w:sectPr>
      </w:pPr>
    </w:p>
    <w:p>
      <w:pPr>
        <w:pStyle w:val="2"/>
        <w:spacing w:before="32"/>
        <w:ind w:left="556"/>
      </w:pPr>
      <w:r>
        <w:rPr>
          <w:color w:val="231F20"/>
        </w:rPr>
        <w:t>非最高报价方系统提示：本场竞价活动已结束，感谢您的参与！</w:t>
      </w:r>
    </w:p>
    <w:p>
      <w:pPr>
        <w:pStyle w:val="2"/>
        <w:spacing w:before="3"/>
        <w:rPr>
          <w:sz w:val="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314960</wp:posOffset>
            </wp:positionH>
            <wp:positionV relativeFrom="paragraph">
              <wp:posOffset>120015</wp:posOffset>
            </wp:positionV>
            <wp:extent cx="6710680" cy="390906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676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180" w:right="340" w:bottom="460" w:left="320" w:header="655" w:footer="22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537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10500360</wp:posOffset>
              </wp:positionV>
              <wp:extent cx="7559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80442" cap="flat" cmpd="sng">
                        <a:solidFill>
                          <a:srgbClr val="BE1E2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826.8pt;height:0pt;width:595.25pt;mso-position-horizontal-relative:page;mso-position-vertical-relative:page;z-index:-251762688;mso-width-relative:page;mso-height-relative:page;" filled="f" stroked="t" coordsize="21600,21600" o:gfxdata="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JKg81QAAAAsBAAAPAAAAAAAAAAEAIAAAACIA&#10;AABkcnMvZG93bnJldi54bWxQSwECFAAUAAAACACHTuJAvqxJANMBAACOAwAADgAAAAAAAAABACAA&#10;AAAkAQAAZHJzL2Uyb0RvYy54bWxQSwUGAAAAAAYABgBZAQAAaQUAAAAA&#10;">
              <v:fill on="f" focussize="0,0"/>
              <v:stroke weight="6.3340157480315pt" color="#BE1E2D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558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10462260</wp:posOffset>
              </wp:positionV>
              <wp:extent cx="7559675" cy="0"/>
              <wp:effectExtent l="0" t="0" r="0" b="0"/>
              <wp:wrapNone/>
              <wp:docPr id="8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80429" cap="flat" cmpd="sng">
                        <a:solidFill>
                          <a:srgbClr val="BE1E2D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0pt;margin-top:823.8pt;height:0pt;width:595.25pt;mso-position-horizontal-relative:page;mso-position-vertical-relative:page;z-index:-251760640;mso-width-relative:page;mso-height-relative:page;" filled="f" stroked="t" coordsize="21600,21600" o:gfxdata="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Pj7K1gAAAAsBAAAPAAAAAAAAAAEAIAAAACIA&#10;AABkcnMvZG93bnJldi54bWxQSwECFAAUAAAACACHTuJAostH4NIBAACOAwAADgAAAAAAAAABACAA&#10;AAAlAQAAZHJzL2Uyb0RvYy54bWxQSwUGAAAAAAYABgBZAQAAaQUAAAAA&#10;">
              <v:fill on="f" focussize="0,0"/>
              <v:stroke weight="6.33299212598425pt" color="#BE1E2D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52768" behindDoc="1" locked="0" layoutInCell="1" allowOverlap="1">
              <wp:simplePos x="0" y="0"/>
              <wp:positionH relativeFrom="page">
                <wp:posOffset>229235</wp:posOffset>
              </wp:positionH>
              <wp:positionV relativeFrom="page">
                <wp:posOffset>349885</wp:posOffset>
              </wp:positionV>
              <wp:extent cx="6755130" cy="25844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513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828"/>
                              <w:tab w:val="left" w:pos="11925"/>
                            </w:tabs>
                            <w:spacing w:before="0" w:line="407" w:lineRule="exact"/>
                            <w:ind w:left="20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FFFFFF"/>
                              <w:w w:val="102"/>
                              <w:sz w:val="27"/>
                              <w:shd w:val="clear" w:color="auto" w:fill="BE1E2D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color w:val="FFFFFF"/>
                              <w:sz w:val="27"/>
                              <w:shd w:val="clear" w:color="auto" w:fill="BE1E2D"/>
                            </w:rPr>
                            <w:tab/>
                          </w:r>
                          <w:r>
                            <w:rPr>
                              <w:color w:val="FFFFFF"/>
                              <w:spacing w:val="-1"/>
                              <w:sz w:val="27"/>
                              <w:shd w:val="clear" w:color="auto" w:fill="BE1E2D"/>
                            </w:rPr>
                            <w:t>网</w:t>
                          </w:r>
                          <w:r>
                            <w:rPr>
                              <w:color w:val="FFFFFF"/>
                              <w:sz w:val="27"/>
                              <w:shd w:val="clear" w:color="auto" w:fill="BE1E2D"/>
                            </w:rPr>
                            <w:t>络竞价多次报价（无行权）竞买人操作指引-产权转让</w:t>
                          </w:r>
                          <w:r>
                            <w:rPr>
                              <w:color w:val="FFFFFF"/>
                              <w:sz w:val="27"/>
                              <w:shd w:val="clear" w:color="auto" w:fill="BE1E2D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8.05pt;margin-top:27.55pt;height:20.35pt;width:531.9pt;mso-position-horizontal-relative:page;mso-position-vertical-relative:page;z-index:-251763712;mso-width-relative:page;mso-height-relative:page;" filled="f" stroked="f" coordsize="21600,21600" o:gfxdata="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EnPW/YAAAACQEAAA8AAAAAAAAA&#10;AQAgAAAAIgAAAGRycy9kb3ducmV2LnhtbFBLAQIUABQAAAAIAIdO4kDhTH49nwEAACQ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828"/>
                        <w:tab w:val="left" w:pos="11925"/>
                      </w:tabs>
                      <w:spacing w:before="0" w:line="407" w:lineRule="exact"/>
                      <w:ind w:left="2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rFonts w:ascii="Times New Roman" w:eastAsia="Times New Roman"/>
                        <w:color w:val="FFFFFF"/>
                        <w:w w:val="102"/>
                        <w:sz w:val="27"/>
                        <w:shd w:val="clear" w:color="auto" w:fill="BE1E2D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FFFFFF"/>
                        <w:sz w:val="27"/>
                        <w:shd w:val="clear" w:color="auto" w:fill="BE1E2D"/>
                      </w:rPr>
                      <w:tab/>
                    </w:r>
                    <w:r>
                      <w:rPr>
                        <w:color w:val="FFFFFF"/>
                        <w:spacing w:val="-1"/>
                        <w:sz w:val="27"/>
                        <w:shd w:val="clear" w:color="auto" w:fill="BE1E2D"/>
                      </w:rPr>
                      <w:t>网</w:t>
                    </w:r>
                    <w:r>
                      <w:rPr>
                        <w:color w:val="FFFFFF"/>
                        <w:sz w:val="27"/>
                        <w:shd w:val="clear" w:color="auto" w:fill="BE1E2D"/>
                      </w:rPr>
                      <w:t>络竞价多次报价（无行权）竞买人操作指引-产权转让</w:t>
                    </w:r>
                    <w:r>
                      <w:rPr>
                        <w:color w:val="FFFFFF"/>
                        <w:sz w:val="27"/>
                        <w:shd w:val="clear" w:color="auto" w:fill="BE1E2D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54816" behindDoc="1" locked="0" layoutInCell="1" allowOverlap="1">
              <wp:simplePos x="0" y="0"/>
              <wp:positionH relativeFrom="page">
                <wp:posOffset>398780</wp:posOffset>
              </wp:positionH>
              <wp:positionV relativeFrom="page">
                <wp:posOffset>420370</wp:posOffset>
              </wp:positionV>
              <wp:extent cx="7034530" cy="258445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53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303"/>
                              <w:tab w:val="left" w:pos="8822"/>
                            </w:tabs>
                            <w:spacing w:before="0" w:line="407" w:lineRule="exact"/>
                            <w:ind w:left="20" w:right="0" w:firstLine="0"/>
                            <w:jc w:val="left"/>
                            <w:rPr>
                              <w:rFonts w:hint="default" w:eastAsia="微软雅黑"/>
                              <w:sz w:val="27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pacing w:val="-1"/>
                              <w:sz w:val="27"/>
                              <w:shd w:val="clear" w:color="auto" w:fill="BE1E2D"/>
                              <w:lang w:val="en-US" w:eastAsia="zh-CN"/>
                            </w:rPr>
                            <w:t xml:space="preserve">                                </w:t>
                          </w:r>
                          <w:r>
                            <w:rPr>
                              <w:color w:val="FFFFFF"/>
                              <w:spacing w:val="-1"/>
                              <w:sz w:val="27"/>
                              <w:shd w:val="clear" w:color="auto" w:fill="BE1E2D"/>
                            </w:rPr>
                            <w:t>网</w:t>
                          </w:r>
                          <w:r>
                            <w:rPr>
                              <w:color w:val="FFFFFF"/>
                              <w:sz w:val="27"/>
                              <w:shd w:val="clear" w:color="auto" w:fill="BE1E2D"/>
                            </w:rPr>
                            <w:t>络竞价多次报价（无行权）竞买人操作指引-产权转让</w:t>
                          </w:r>
                          <w:r>
                            <w:rPr>
                              <w:rFonts w:hint="eastAsia"/>
                              <w:color w:val="FFFFFF"/>
                              <w:sz w:val="27"/>
                              <w:shd w:val="clear" w:color="auto" w:fill="BE1E2D"/>
                              <w:lang w:val="en-US" w:eastAsia="zh-CN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1.4pt;margin-top:33.1pt;height:20.35pt;width:553.9pt;mso-position-horizontal-relative:page;mso-position-vertical-relative:page;z-index:-251761664;mso-width-relative:page;mso-height-relative:page;" filled="f" stroked="f" coordsize="21600,21600" o:gfxdata="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xaj0NkAAAAKAQAADwAAAAAA&#10;AAABACAAAAAiAAAAZHJzL2Rvd25yZXYueG1sUEsBAhQAFAAAAAgAh07iQM75QPWgAQAAJA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303"/>
                        <w:tab w:val="left" w:pos="8822"/>
                      </w:tabs>
                      <w:spacing w:before="0" w:line="407" w:lineRule="exact"/>
                      <w:ind w:left="20" w:right="0" w:firstLine="0"/>
                      <w:jc w:val="left"/>
                      <w:rPr>
                        <w:rFonts w:hint="default" w:eastAsia="微软雅黑"/>
                        <w:sz w:val="27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FFFF"/>
                        <w:spacing w:val="-1"/>
                        <w:sz w:val="27"/>
                        <w:shd w:val="clear" w:color="auto" w:fill="BE1E2D"/>
                        <w:lang w:val="en-US" w:eastAsia="zh-CN"/>
                      </w:rPr>
                      <w:t xml:space="preserve">                                </w:t>
                    </w:r>
                    <w:r>
                      <w:rPr>
                        <w:color w:val="FFFFFF"/>
                        <w:spacing w:val="-1"/>
                        <w:sz w:val="27"/>
                        <w:shd w:val="clear" w:color="auto" w:fill="BE1E2D"/>
                      </w:rPr>
                      <w:t>网</w:t>
                    </w:r>
                    <w:r>
                      <w:rPr>
                        <w:color w:val="FFFFFF"/>
                        <w:sz w:val="27"/>
                        <w:shd w:val="clear" w:color="auto" w:fill="BE1E2D"/>
                      </w:rPr>
                      <w:t>络竞价多次报价（无行权）竞买人操作指引-产权转让</w:t>
                    </w:r>
                    <w:r>
                      <w:rPr>
                        <w:rFonts w:hint="eastAsia"/>
                        <w:color w:val="FFFFFF"/>
                        <w:sz w:val="27"/>
                        <w:shd w:val="clear" w:color="auto" w:fill="BE1E2D"/>
                        <w:lang w:val="en-US" w:eastAsia="zh-CN"/>
                      </w:rPr>
                      <w:t xml:space="preserve">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decimal"/>
      <w:lvlText w:val="%1"/>
      <w:lvlJc w:val="left"/>
      <w:pPr>
        <w:ind w:left="770" w:hanging="195"/>
        <w:jc w:val="left"/>
      </w:pPr>
      <w:rPr>
        <w:rFonts w:hint="default" w:ascii="微软雅黑" w:hAnsi="微软雅黑" w:eastAsia="微软雅黑" w:cs="微软雅黑"/>
        <w:color w:val="231F20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42" w:hanging="376"/>
        <w:jc w:val="left"/>
      </w:pPr>
      <w:rPr>
        <w:rFonts w:hint="default" w:ascii="微软雅黑" w:hAnsi="微软雅黑" w:eastAsia="微软雅黑" w:cs="微软雅黑"/>
        <w:color w:val="231F20"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2" w:hanging="3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5" w:hanging="3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8" w:hanging="3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31" w:hanging="3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94" w:hanging="3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7" w:hanging="3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19" w:hanging="37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A697E"/>
    <w:rsid w:val="779C1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78"/>
      <w:ind w:left="642" w:hanging="377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2020-10-09T03:32:00Z</dcterms:created>
  <dc:creator>user</dc:creator>
  <cp:lastModifiedBy>鹏翰</cp:lastModifiedBy>
  <cp:lastPrinted>2020-10-09T03:33:36Z</cp:lastPrinted>
  <dcterms:modified xsi:type="dcterms:W3CDTF">2020-10-09T03:49:07Z</dcterms:modified>
  <dc:title>网络竞价多次报价（无行权）竞买人操作指引-产权转让、房屋租赁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2020-10-09T00:00:00Z</vt:filetime>
  </property>
  <property fmtid="{D5CDD505-2E9C-101B-9397-08002B2CF9AE}" pid="5" name="KSOProductBuildVer">
    <vt:lpwstr>2052-11.1.0.9999</vt:lpwstr>
  </property>
</Properties>
</file>