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900"/>
        </w:tabs>
        <w:adjustRightInd w:val="0"/>
        <w:snapToGrid w:val="0"/>
        <w:spacing w:after="0" w:line="560" w:lineRule="exact"/>
        <w:jc w:val="center"/>
        <w:rPr>
          <w:rFonts w:cs="Arial" w:asciiTheme="minorEastAsia" w:hAnsiTheme="minorEastAsia" w:eastAsiaTheme="minorEastAsia"/>
          <w:b/>
          <w:sz w:val="48"/>
          <w:szCs w:val="48"/>
        </w:rPr>
      </w:pPr>
      <w:r>
        <w:rPr>
          <w:rFonts w:hint="eastAsia" w:cs="Arial" w:asciiTheme="minorEastAsia" w:hAnsiTheme="minorEastAsia" w:eastAsiaTheme="minorEastAsia"/>
          <w:b/>
          <w:sz w:val="48"/>
          <w:szCs w:val="48"/>
        </w:rPr>
        <w:t>竞  价  清  单</w:t>
      </w:r>
    </w:p>
    <w:p>
      <w:pPr>
        <w:pStyle w:val="2"/>
        <w:tabs>
          <w:tab w:val="left" w:pos="900"/>
        </w:tabs>
        <w:autoSpaceDE w:val="0"/>
        <w:autoSpaceDN w:val="0"/>
        <w:adjustRightInd w:val="0"/>
        <w:snapToGrid w:val="0"/>
        <w:spacing w:after="0" w:line="300" w:lineRule="exact"/>
        <w:jc w:val="center"/>
        <w:rPr>
          <w:rFonts w:cs="Arial" w:asciiTheme="minorEastAsia" w:hAnsiTheme="minorEastAsia" w:eastAsiaTheme="minorEastAsia"/>
          <w:b/>
          <w:sz w:val="24"/>
        </w:rPr>
      </w:pPr>
      <w:r>
        <w:rPr>
          <w:rFonts w:hint="eastAsia" w:cs="Arial" w:asciiTheme="minorEastAsia" w:hAnsiTheme="minorEastAsia" w:eastAsiaTheme="minorEastAsia"/>
          <w:b/>
          <w:sz w:val="24"/>
        </w:rPr>
        <w:t>【2019年第三批保障房配套商业招租</w:t>
      </w:r>
      <w:r>
        <w:rPr>
          <w:rFonts w:hint="eastAsia" w:cs="Arial" w:asciiTheme="minorEastAsia" w:hAnsiTheme="minorEastAsia" w:eastAsiaTheme="minorEastAsia"/>
          <w:b/>
          <w:sz w:val="24"/>
          <w:lang w:eastAsia="zh-CN"/>
        </w:rPr>
        <w:t>（第二轮）</w:t>
      </w:r>
      <w:r>
        <w:rPr>
          <w:rFonts w:hint="eastAsia" w:cs="Arial" w:asciiTheme="minorEastAsia" w:hAnsiTheme="minorEastAsia" w:eastAsiaTheme="minorEastAsia"/>
          <w:b/>
          <w:sz w:val="24"/>
        </w:rPr>
        <w:t>】</w:t>
      </w:r>
    </w:p>
    <w:p>
      <w:pPr>
        <w:pStyle w:val="2"/>
        <w:tabs>
          <w:tab w:val="left" w:pos="900"/>
        </w:tabs>
        <w:autoSpaceDE w:val="0"/>
        <w:autoSpaceDN w:val="0"/>
        <w:adjustRightInd w:val="0"/>
        <w:snapToGrid w:val="0"/>
        <w:spacing w:after="0" w:line="300" w:lineRule="exact"/>
        <w:jc w:val="center"/>
        <w:rPr>
          <w:rFonts w:cs="Arial" w:asciiTheme="minorEastAsia" w:hAnsiTheme="minorEastAsia" w:eastAsiaTheme="minorEastAsia"/>
          <w:b/>
          <w:color w:val="000000" w:themeColor="text1"/>
          <w:sz w:val="24"/>
        </w:rPr>
      </w:pP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</w:rPr>
        <w:t>竞价时间：20</w:t>
      </w: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  <w:lang w:val="en-US" w:eastAsia="zh-CN"/>
        </w:rPr>
        <w:t>20</w:t>
      </w: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</w:rPr>
        <w:t>年</w:t>
      </w: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  <w:lang w:val="en-US" w:eastAsia="zh-CN"/>
        </w:rPr>
        <w:t>2</w:t>
      </w: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</w:rPr>
        <w:t>月</w:t>
      </w: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  <w:lang w:val="en-US" w:eastAsia="zh-CN"/>
        </w:rPr>
        <w:t>17</w:t>
      </w: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</w:rPr>
        <w:t>日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494" w:tblpY="965"/>
        <w:tblOverlap w:val="never"/>
        <w:tblW w:w="1603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1712"/>
        <w:gridCol w:w="1851"/>
        <w:gridCol w:w="1063"/>
        <w:gridCol w:w="840"/>
        <w:gridCol w:w="754"/>
        <w:gridCol w:w="892"/>
        <w:gridCol w:w="925"/>
        <w:gridCol w:w="3226"/>
        <w:gridCol w:w="1374"/>
        <w:gridCol w:w="28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标的序号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房屋坐落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建筑面积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（平方米）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租金底价(元/月)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保证金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(万元)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加价幅度(元)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365" w:hanging="365" w:hangingChars="182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基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本报价</w:t>
            </w:r>
          </w:p>
          <w:p>
            <w:pPr>
              <w:widowControl/>
              <w:ind w:left="365" w:hanging="365" w:hangingChars="182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365" w:hanging="365" w:hangingChars="182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租赁业态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365" w:hanging="365" w:hangingChars="182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参考物业费</w:t>
            </w:r>
          </w:p>
          <w:p>
            <w:pPr>
              <w:widowControl/>
              <w:ind w:left="365" w:hanging="365" w:hangingChars="182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物业费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公维金</w:t>
            </w:r>
          </w:p>
          <w:p>
            <w:pPr>
              <w:widowControl/>
              <w:ind w:left="365" w:hanging="365" w:hangingChars="182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（元/平·月）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365" w:hanging="365" w:hangingChars="182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后溪花园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仑上东里42号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54.07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.6+0.4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后溪花园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仑上东里4号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129.57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4794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.6+0.4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后溪花园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仑上东里74号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87.80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2634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.6+0.4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海新阳光公寓二期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新景西里43号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87.59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4993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.55+0.2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卷闸门升降不畅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滨水小区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滨水二里39号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145.84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5688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8+0.25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滨水小区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滨水二里23号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122.36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6118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8+0.25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滨水小区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滨水二里49号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116.58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4663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8+0.25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东方新城一期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祥福三里20号111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42.32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拾元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/月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不限（不得使用明火，不得产生油烟或噪音扰民，不得从事废品回收）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.5+0.25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墙体脱灰、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卷闸门升降不畅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给排水管部分损坏</w:t>
            </w:r>
          </w:p>
        </w:tc>
      </w:tr>
    </w:tbl>
    <w:p>
      <w:pPr>
        <w:autoSpaceDE w:val="0"/>
        <w:autoSpaceDN w:val="0"/>
        <w:spacing w:line="500" w:lineRule="exact"/>
        <w:rPr>
          <w:rFonts w:asciiTheme="minorEastAsia" w:hAnsiTheme="minorEastAsia"/>
          <w:b/>
          <w:sz w:val="22"/>
        </w:rPr>
      </w:pPr>
      <w:r>
        <w:rPr>
          <w:rFonts w:hint="eastAsia" w:asciiTheme="minorEastAsia" w:hAnsiTheme="minorEastAsia"/>
          <w:b/>
          <w:sz w:val="22"/>
        </w:rPr>
        <w:t>备注：</w:t>
      </w:r>
    </w:p>
    <w:p>
      <w:pPr>
        <w:autoSpaceDE w:val="0"/>
        <w:autoSpaceDN w:val="0"/>
        <w:spacing w:line="500" w:lineRule="exact"/>
        <w:rPr>
          <w:rFonts w:cs="宋体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b/>
          <w:sz w:val="22"/>
        </w:rPr>
        <w:t>1、租赁期限</w:t>
      </w:r>
      <w:r>
        <w:rPr>
          <w:rFonts w:cs="黑体" w:asciiTheme="minorEastAsia" w:hAnsiTheme="minorEastAsia"/>
          <w:b/>
          <w:kern w:val="0"/>
          <w:sz w:val="22"/>
        </w:rPr>
        <w:t>:</w:t>
      </w:r>
      <w:r>
        <w:rPr>
          <w:rFonts w:hint="eastAsia" w:asciiTheme="minorEastAsia" w:hAnsiTheme="minorEastAsia"/>
          <w:sz w:val="22"/>
        </w:rPr>
        <w:t>所有标的租赁期限均为五年。</w:t>
      </w:r>
      <w:r>
        <w:rPr>
          <w:rFonts w:hint="eastAsia" w:asciiTheme="minorEastAsia" w:hAnsiTheme="minorEastAsia"/>
          <w:sz w:val="22"/>
          <w:lang w:val="en-US" w:eastAsia="zh-CN"/>
        </w:rPr>
        <w:t xml:space="preserve">     </w:t>
      </w:r>
      <w:r>
        <w:rPr>
          <w:rFonts w:hint="eastAsia" w:cs="宋体" w:asciiTheme="minorEastAsia" w:hAnsiTheme="minorEastAsia"/>
          <w:b/>
          <w:kern w:val="0"/>
          <w:sz w:val="22"/>
        </w:rPr>
        <w:t>2、</w:t>
      </w:r>
      <w:r>
        <w:rPr>
          <w:rFonts w:hint="eastAsia" w:cs="黑体" w:asciiTheme="minorEastAsia" w:hAnsiTheme="minorEastAsia"/>
          <w:b/>
          <w:kern w:val="0"/>
          <w:sz w:val="22"/>
        </w:rPr>
        <w:t>租金收取方式</w:t>
      </w:r>
      <w:r>
        <w:rPr>
          <w:rFonts w:cs="黑体" w:asciiTheme="minorEastAsia" w:hAnsiTheme="minorEastAsia"/>
          <w:b/>
          <w:kern w:val="0"/>
          <w:sz w:val="22"/>
        </w:rPr>
        <w:t>:</w:t>
      </w:r>
      <w:r>
        <w:rPr>
          <w:rFonts w:hint="eastAsia" w:cs="宋体" w:asciiTheme="minorEastAsia" w:hAnsiTheme="minorEastAsia"/>
          <w:kern w:val="0"/>
          <w:sz w:val="22"/>
        </w:rPr>
        <w:t>自第二个计租年度起，租金在实际中标价的基础上逐年递增</w:t>
      </w:r>
      <w:r>
        <w:rPr>
          <w:rFonts w:cs="宋体" w:asciiTheme="minorEastAsia" w:hAnsiTheme="minorEastAsia"/>
          <w:kern w:val="0"/>
          <w:sz w:val="22"/>
        </w:rPr>
        <w:t>5%；</w:t>
      </w:r>
    </w:p>
    <w:p>
      <w:pPr>
        <w:autoSpaceDE w:val="0"/>
        <w:autoSpaceDN w:val="0"/>
        <w:spacing w:line="500" w:lineRule="exact"/>
        <w:jc w:val="left"/>
        <w:rPr>
          <w:rFonts w:cs="宋体" w:asciiTheme="minorEastAsia" w:hAnsiTheme="minorEastAsia"/>
          <w:kern w:val="0"/>
          <w:sz w:val="22"/>
        </w:rPr>
      </w:pPr>
      <w:r>
        <w:rPr>
          <w:rFonts w:hint="eastAsia" w:cs="宋体" w:asciiTheme="minorEastAsia" w:hAnsiTheme="minorEastAsia"/>
          <w:b/>
          <w:kern w:val="0"/>
          <w:sz w:val="22"/>
        </w:rPr>
        <w:t>3、</w:t>
      </w:r>
      <w:r>
        <w:rPr>
          <w:rFonts w:hint="eastAsia" w:cs="宋体" w:asciiTheme="minorEastAsia" w:hAnsiTheme="minorEastAsia"/>
          <w:b/>
          <w:bCs/>
          <w:kern w:val="0"/>
          <w:sz w:val="22"/>
        </w:rPr>
        <w:t>租赁业态</w:t>
      </w:r>
      <w:r>
        <w:rPr>
          <w:rFonts w:cs="黑体" w:asciiTheme="minorEastAsia" w:hAnsiTheme="minorEastAsia"/>
          <w:b/>
          <w:kern w:val="0"/>
          <w:sz w:val="22"/>
        </w:rPr>
        <w:t>:</w:t>
      </w:r>
      <w:r>
        <w:rPr>
          <w:rFonts w:hint="eastAsia" w:cs="宋体" w:asciiTheme="minorEastAsia" w:hAnsiTheme="minorEastAsia"/>
          <w:kern w:val="0"/>
          <w:sz w:val="22"/>
        </w:rPr>
        <w:t>符合国家法律法规规定的行业；完全符合消防、环保等相关法律法规要求的行业；不会产生噪音扰民的行业；不会使用明火和</w:t>
      </w:r>
      <w:r>
        <w:rPr>
          <w:rFonts w:cs="宋体" w:asciiTheme="minorEastAsia" w:hAnsiTheme="minorEastAsia"/>
          <w:kern w:val="0"/>
          <w:sz w:val="22"/>
        </w:rPr>
        <w:t>/或会产生油烟扰民的餐饮行业</w:t>
      </w:r>
      <w:r>
        <w:rPr>
          <w:rFonts w:hint="eastAsia" w:cs="宋体" w:asciiTheme="minorEastAsia" w:hAnsiTheme="minorEastAsia"/>
          <w:kern w:val="0"/>
          <w:sz w:val="22"/>
        </w:rPr>
        <w:t>。</w:t>
      </w:r>
      <w:r>
        <w:rPr>
          <w:rFonts w:hint="eastAsia" w:cs="宋体" w:asciiTheme="minorEastAsia" w:hAnsiTheme="minorEastAsia"/>
          <w:kern w:val="0"/>
          <w:sz w:val="22"/>
          <w:lang w:val="en-US" w:eastAsia="zh-CN"/>
        </w:rPr>
        <w:t xml:space="preserve">   </w:t>
      </w:r>
      <w:r>
        <w:rPr>
          <w:rFonts w:hint="eastAsia" w:cs="宋体" w:asciiTheme="minorEastAsia" w:hAnsiTheme="minorEastAsia"/>
          <w:b/>
          <w:kern w:val="0"/>
          <w:sz w:val="22"/>
        </w:rPr>
        <w:t>4、参考物业费：</w:t>
      </w:r>
      <w:r>
        <w:rPr>
          <w:rFonts w:hint="eastAsia" w:cs="宋体" w:asciiTheme="minorEastAsia" w:hAnsiTheme="minorEastAsia"/>
          <w:kern w:val="0"/>
          <w:sz w:val="22"/>
        </w:rPr>
        <w:t>物业费仅供参考，以属地物业实际缴收为准。</w:t>
      </w:r>
    </w:p>
    <w:p>
      <w:pPr>
        <w:spacing w:line="500" w:lineRule="exact"/>
        <w:ind w:firstLine="11005" w:firstLineChars="5000"/>
        <w:rPr>
          <w:rFonts w:hint="eastAsia"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2"/>
          <w:lang w:val="en-US" w:eastAsia="zh-CN"/>
        </w:rPr>
        <w:t xml:space="preserve"> </w:t>
      </w:r>
      <w:r>
        <w:rPr>
          <w:rFonts w:hint="eastAsia" w:cs="宋体" w:asciiTheme="minorEastAsia" w:hAnsiTheme="minorEastAsia"/>
          <w:b/>
          <w:kern w:val="0"/>
          <w:sz w:val="24"/>
          <w:szCs w:val="24"/>
          <w:lang w:val="en-US" w:eastAsia="zh-CN"/>
        </w:rPr>
        <w:t>厦门</w:t>
      </w:r>
      <w:r>
        <w:rPr>
          <w:rFonts w:hint="eastAsia" w:cs="宋体" w:asciiTheme="minorEastAsia" w:hAnsiTheme="minorEastAsia"/>
          <w:b/>
          <w:kern w:val="0"/>
          <w:sz w:val="24"/>
          <w:szCs w:val="24"/>
          <w:lang w:eastAsia="zh-CN"/>
        </w:rPr>
        <w:t>安居集团有限公司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 xml:space="preserve">                                </w:t>
      </w:r>
    </w:p>
    <w:p>
      <w:pPr>
        <w:spacing w:line="500" w:lineRule="exact"/>
        <w:ind w:firstLine="11766" w:firstLineChars="4900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20</w:t>
      </w:r>
      <w:r>
        <w:rPr>
          <w:rFonts w:hint="eastAsia" w:cs="宋体" w:asciiTheme="minorEastAsia" w:hAnsiTheme="minorEastAsia"/>
          <w:b/>
          <w:kern w:val="0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b/>
          <w:kern w:val="0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b/>
          <w:kern w:val="0"/>
          <w:sz w:val="24"/>
          <w:szCs w:val="24"/>
          <w:lang w:val="en-US" w:eastAsia="zh-CN"/>
        </w:rPr>
        <w:t>17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日</w:t>
      </w:r>
    </w:p>
    <w:sectPr>
      <w:pgSz w:w="16838" w:h="11906" w:orient="landscape"/>
      <w:pgMar w:top="567" w:right="1134" w:bottom="283" w:left="90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4293"/>
    <w:rsid w:val="000B61F3"/>
    <w:rsid w:val="000C0054"/>
    <w:rsid w:val="000F3109"/>
    <w:rsid w:val="00153771"/>
    <w:rsid w:val="001C25F5"/>
    <w:rsid w:val="00224477"/>
    <w:rsid w:val="00244D5D"/>
    <w:rsid w:val="00262D48"/>
    <w:rsid w:val="003273BE"/>
    <w:rsid w:val="00357B70"/>
    <w:rsid w:val="003B618C"/>
    <w:rsid w:val="003D2C4E"/>
    <w:rsid w:val="004F0C9F"/>
    <w:rsid w:val="00501F03"/>
    <w:rsid w:val="00551C6F"/>
    <w:rsid w:val="005957C0"/>
    <w:rsid w:val="005D2B25"/>
    <w:rsid w:val="005F678A"/>
    <w:rsid w:val="00633B81"/>
    <w:rsid w:val="00680925"/>
    <w:rsid w:val="006C5F46"/>
    <w:rsid w:val="00767D68"/>
    <w:rsid w:val="007C40AD"/>
    <w:rsid w:val="007D0542"/>
    <w:rsid w:val="00835E21"/>
    <w:rsid w:val="00842C75"/>
    <w:rsid w:val="008818F8"/>
    <w:rsid w:val="008B3C1B"/>
    <w:rsid w:val="008D5B48"/>
    <w:rsid w:val="0090712C"/>
    <w:rsid w:val="009310F6"/>
    <w:rsid w:val="009343C3"/>
    <w:rsid w:val="0093715F"/>
    <w:rsid w:val="00994571"/>
    <w:rsid w:val="009F06B7"/>
    <w:rsid w:val="009F085A"/>
    <w:rsid w:val="00A261EF"/>
    <w:rsid w:val="00B7536B"/>
    <w:rsid w:val="00B8523F"/>
    <w:rsid w:val="00B9424B"/>
    <w:rsid w:val="00BE4D85"/>
    <w:rsid w:val="00C76F9E"/>
    <w:rsid w:val="00CC6951"/>
    <w:rsid w:val="00D04293"/>
    <w:rsid w:val="00D36756"/>
    <w:rsid w:val="00E44FA5"/>
    <w:rsid w:val="00EB309E"/>
    <w:rsid w:val="00EF0B74"/>
    <w:rsid w:val="00F0200F"/>
    <w:rsid w:val="00F24C22"/>
    <w:rsid w:val="00F849FD"/>
    <w:rsid w:val="00FE2227"/>
    <w:rsid w:val="116A5B2C"/>
    <w:rsid w:val="1C11123F"/>
    <w:rsid w:val="2420681C"/>
    <w:rsid w:val="27631FEC"/>
    <w:rsid w:val="2D56251B"/>
    <w:rsid w:val="327F4BD9"/>
    <w:rsid w:val="3A193BC9"/>
    <w:rsid w:val="47636C1C"/>
    <w:rsid w:val="497E3B00"/>
    <w:rsid w:val="4A2B34A8"/>
    <w:rsid w:val="51FA50AC"/>
    <w:rsid w:val="546F40F5"/>
    <w:rsid w:val="6E6E011E"/>
    <w:rsid w:val="76FC11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after="120"/>
    </w:pPr>
    <w:rPr>
      <w:rFonts w:eastAsia="宋体"/>
      <w:szCs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 字符"/>
    <w:basedOn w:val="7"/>
    <w:semiHidden/>
    <w:qFormat/>
    <w:uiPriority w:val="99"/>
  </w:style>
  <w:style w:type="character" w:customStyle="1" w:styleId="9">
    <w:name w:val="正文文本 Char"/>
    <w:link w:val="2"/>
    <w:qFormat/>
    <w:locked/>
    <w:uiPriority w:val="0"/>
    <w:rPr>
      <w:rFonts w:eastAsia="宋体"/>
      <w:szCs w:val="24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660</Words>
  <Characters>3764</Characters>
  <Lines>31</Lines>
  <Paragraphs>8</Paragraphs>
  <TotalTime>6</TotalTime>
  <ScaleCrop>false</ScaleCrop>
  <LinksUpToDate>false</LinksUpToDate>
  <CharactersWithSpaces>4416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2019-08-05T04:37:00Z</dcterms:created>
  <dc:creator>dell</dc:creator>
  <cp:lastModifiedBy>Administrator</cp:lastModifiedBy>
  <cp:lastPrinted>2019-12-02T02:03:00Z</cp:lastPrinted>
  <dcterms:modified xsi:type="dcterms:W3CDTF">2020-01-16T03:32:01Z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