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margin" w:tblpXSpec="center" w:tblpY="269"/>
        <w:tblW w:w="10063" w:type="dxa"/>
        <w:tblInd w:w="0" w:type="dxa"/>
        <w:tblBorders>
          <w:top w:val="single" w:color="823B0B" w:sz="12" w:space="0"/>
          <w:left w:val="single" w:color="823B0B" w:sz="12" w:space="0"/>
          <w:bottom w:val="single" w:color="823B0B" w:sz="12" w:space="0"/>
          <w:right w:val="single" w:color="823B0B" w:sz="12" w:space="0"/>
          <w:insideH w:val="single" w:color="auto" w:sz="4" w:space="0"/>
          <w:insideV w:val="single" w:color="auto" w:sz="4" w:space="0"/>
        </w:tblBorders>
        <w:tblLayout w:type="fixed"/>
        <w:tblCellMar>
          <w:top w:w="0" w:type="dxa"/>
          <w:left w:w="108" w:type="dxa"/>
          <w:bottom w:w="0" w:type="dxa"/>
          <w:right w:w="108" w:type="dxa"/>
        </w:tblCellMar>
      </w:tblPr>
      <w:tblGrid>
        <w:gridCol w:w="10063"/>
      </w:tblGrid>
      <w:tr>
        <w:tblPrEx>
          <w:tblBorders>
            <w:top w:val="single" w:color="823B0B" w:sz="12" w:space="0"/>
            <w:left w:val="single" w:color="823B0B" w:sz="12" w:space="0"/>
            <w:bottom w:val="single" w:color="823B0B" w:sz="12" w:space="0"/>
            <w:right w:val="single" w:color="823B0B" w:sz="12"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0063" w:type="dxa"/>
            <w:tcBorders>
              <w:bottom w:val="single" w:color="823B0B" w:sz="8" w:space="0"/>
            </w:tcBorders>
            <w:shd w:val="clear" w:color="auto" w:fill="FBE5D6" w:themeFill="accent2" w:themeFillTint="32"/>
            <w:vAlign w:val="center"/>
          </w:tcPr>
          <w:p>
            <w:pPr>
              <w:widowControl/>
              <w:jc w:val="center"/>
              <w:rPr>
                <w:rFonts w:cs="宋体" w:asciiTheme="minorEastAsia" w:hAnsiTheme="minorEastAsia" w:eastAsiaTheme="minorEastAsia"/>
                <w:b/>
                <w:bCs/>
                <w:kern w:val="0"/>
                <w:sz w:val="36"/>
                <w:szCs w:val="36"/>
              </w:rPr>
            </w:pPr>
            <w:r>
              <w:rPr>
                <w:rFonts w:hint="eastAsia" w:cs="宋体" w:asciiTheme="minorEastAsia" w:hAnsiTheme="minorEastAsia" w:eastAsiaTheme="minorEastAsia"/>
                <w:b/>
                <w:bCs/>
                <w:kern w:val="0"/>
                <w:sz w:val="36"/>
                <w:szCs w:val="36"/>
              </w:rPr>
              <w:t>思明区湖光清洁楼楼下店面等7套房产三年租赁权竞价公告</w:t>
            </w:r>
          </w:p>
        </w:tc>
      </w:tr>
      <w:tr>
        <w:tblPrEx>
          <w:tblBorders>
            <w:top w:val="single" w:color="823B0B" w:sz="12" w:space="0"/>
            <w:left w:val="single" w:color="823B0B" w:sz="12" w:space="0"/>
            <w:bottom w:val="single" w:color="823B0B" w:sz="12" w:space="0"/>
            <w:right w:val="single" w:color="823B0B" w:sz="12"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10063" w:type="dxa"/>
            <w:tcBorders>
              <w:top w:val="single" w:color="823B0B" w:sz="8" w:space="0"/>
            </w:tcBorders>
            <w:vAlign w:val="bottom"/>
          </w:tcPr>
          <w:p>
            <w:pPr>
              <w:keepNext w:val="0"/>
              <w:keepLines w:val="0"/>
              <w:pageBreakBefore w:val="0"/>
              <w:widowControl w:val="0"/>
              <w:kinsoku/>
              <w:wordWrap/>
              <w:overflowPunct/>
              <w:topLinePunct w:val="0"/>
              <w:autoSpaceDE/>
              <w:autoSpaceDN/>
              <w:bidi w:val="0"/>
              <w:adjustRightInd/>
              <w:snapToGrid/>
              <w:spacing w:before="235" w:beforeLines="75" w:line="360" w:lineRule="exact"/>
              <w:ind w:firstLine="480" w:firstLineChars="200"/>
              <w:textAlignment w:val="baseline"/>
              <w:rPr>
                <w:rFonts w:ascii="黑体" w:hAnsi="黑体" w:eastAsia="黑体"/>
                <w:color w:val="000000"/>
                <w:sz w:val="24"/>
              </w:rPr>
            </w:pPr>
            <w:r>
              <w:rPr>
                <w:rFonts w:hint="eastAsia" w:ascii="黑体" w:hAnsi="黑体" w:eastAsia="黑体"/>
                <w:color w:val="000000"/>
                <w:sz w:val="24"/>
              </w:rPr>
              <w:t>受</w:t>
            </w:r>
            <w:r>
              <w:rPr>
                <w:rFonts w:hint="eastAsia" w:ascii="黑体" w:hAnsi="黑体" w:eastAsia="黑体" w:cs="宋体"/>
                <w:color w:val="000000"/>
                <w:kern w:val="0"/>
                <w:sz w:val="24"/>
              </w:rPr>
              <w:t>厦门市思明区行政事业资产中心</w:t>
            </w:r>
            <w:r>
              <w:rPr>
                <w:rFonts w:hint="eastAsia" w:ascii="黑体" w:hAnsi="黑体" w:eastAsia="黑体"/>
                <w:color w:val="000000"/>
                <w:sz w:val="24"/>
              </w:rPr>
              <w:t>委托，我司将采用网络</w:t>
            </w:r>
            <w:r>
              <w:rPr>
                <w:rFonts w:hint="eastAsia" w:ascii="黑体" w:hAnsi="黑体" w:eastAsia="黑体" w:cs="宋体"/>
                <w:color w:val="000000"/>
                <w:kern w:val="0"/>
                <w:sz w:val="24"/>
              </w:rPr>
              <w:t>竞价</w:t>
            </w:r>
            <w:r>
              <w:rPr>
                <w:rFonts w:hint="eastAsia" w:ascii="黑体" w:hAnsi="黑体" w:eastAsia="黑体"/>
                <w:color w:val="000000"/>
                <w:sz w:val="24"/>
              </w:rPr>
              <w:t>方式举办</w:t>
            </w:r>
            <w:r>
              <w:rPr>
                <w:rFonts w:hint="eastAsia" w:ascii="黑体" w:hAnsi="黑体" w:eastAsia="黑体" w:cs="宋体"/>
                <w:bCs/>
                <w:kern w:val="0"/>
                <w:sz w:val="24"/>
              </w:rPr>
              <w:t>思明区湖光清洁楼楼下店面等7套房产三年租赁权</w:t>
            </w:r>
            <w:r>
              <w:rPr>
                <w:rFonts w:hint="eastAsia" w:ascii="黑体" w:hAnsi="黑体" w:eastAsia="黑体" w:cs="宋体"/>
                <w:color w:val="000000"/>
                <w:kern w:val="0"/>
                <w:sz w:val="24"/>
              </w:rPr>
              <w:t>竞价</w:t>
            </w:r>
            <w:r>
              <w:rPr>
                <w:rFonts w:hint="eastAsia" w:ascii="黑体" w:hAnsi="黑体" w:eastAsia="黑体"/>
                <w:color w:val="000000"/>
                <w:sz w:val="24"/>
              </w:rPr>
              <w:t>会，欢迎国内符合条件的单位或个人参与竞价。</w:t>
            </w:r>
          </w:p>
          <w:p>
            <w:pPr>
              <w:keepNext w:val="0"/>
              <w:keepLines w:val="0"/>
              <w:pageBreakBefore w:val="0"/>
              <w:widowControl w:val="0"/>
              <w:kinsoku/>
              <w:wordWrap/>
              <w:overflowPunct/>
              <w:topLinePunct w:val="0"/>
              <w:autoSpaceDE/>
              <w:autoSpaceDN/>
              <w:bidi w:val="0"/>
              <w:adjustRightInd/>
              <w:snapToGrid/>
              <w:spacing w:beforeLines="25" w:after="157" w:afterLines="50" w:line="360" w:lineRule="exact"/>
              <w:ind w:left="1178" w:leftChars="228" w:hanging="699" w:hangingChars="290"/>
              <w:textAlignment w:val="auto"/>
              <w:rPr>
                <w:rFonts w:ascii="黑体" w:hAnsi="黑体" w:eastAsia="黑体"/>
                <w:color w:val="000000"/>
                <w:sz w:val="24"/>
              </w:rPr>
            </w:pPr>
            <w:r>
              <w:rPr>
                <w:rFonts w:hint="eastAsia" w:ascii="黑体" w:hAnsi="黑体" w:eastAsia="黑体"/>
                <w:b/>
                <w:color w:val="000000"/>
                <w:sz w:val="24"/>
              </w:rPr>
              <w:t>竞价标的</w:t>
            </w:r>
            <w:r>
              <w:rPr>
                <w:rFonts w:hint="eastAsia" w:ascii="黑体" w:hAnsi="黑体" w:eastAsia="黑体"/>
                <w:color w:val="000000"/>
                <w:sz w:val="24"/>
              </w:rPr>
              <w:t>：</w:t>
            </w:r>
          </w:p>
          <w:tbl>
            <w:tblPr>
              <w:tblStyle w:val="2"/>
              <w:tblW w:w="9683" w:type="dxa"/>
              <w:tblInd w:w="-2" w:type="dxa"/>
              <w:tblLayout w:type="fixed"/>
              <w:tblCellMar>
                <w:top w:w="0" w:type="dxa"/>
                <w:left w:w="108" w:type="dxa"/>
                <w:bottom w:w="0" w:type="dxa"/>
                <w:right w:w="108" w:type="dxa"/>
              </w:tblCellMar>
            </w:tblPr>
            <w:tblGrid>
              <w:gridCol w:w="700"/>
              <w:gridCol w:w="2525"/>
              <w:gridCol w:w="961"/>
              <w:gridCol w:w="1011"/>
              <w:gridCol w:w="1155"/>
              <w:gridCol w:w="1336"/>
              <w:gridCol w:w="1995"/>
            </w:tblGrid>
            <w:tr>
              <w:tblPrEx>
                <w:tblLayout w:type="fixed"/>
                <w:tblCellMar>
                  <w:top w:w="0" w:type="dxa"/>
                  <w:left w:w="108" w:type="dxa"/>
                  <w:bottom w:w="0" w:type="dxa"/>
                  <w:right w:w="108" w:type="dxa"/>
                </w:tblCellMar>
              </w:tblPrEx>
              <w:trPr>
                <w:trHeight w:val="478"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b/>
                      <w:kern w:val="0"/>
                      <w:sz w:val="18"/>
                      <w:szCs w:val="18"/>
                    </w:rPr>
                  </w:pPr>
                  <w:r>
                    <w:rPr>
                      <w:rFonts w:hint="eastAsia" w:cs="宋体" w:asciiTheme="majorEastAsia" w:hAnsiTheme="majorEastAsia" w:eastAsiaTheme="majorEastAsia"/>
                      <w:b/>
                      <w:kern w:val="0"/>
                      <w:sz w:val="18"/>
                      <w:szCs w:val="18"/>
                    </w:rPr>
                    <w:t>序号</w:t>
                  </w:r>
                </w:p>
              </w:tc>
              <w:tc>
                <w:tcPr>
                  <w:tcW w:w="25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b/>
                      <w:kern w:val="0"/>
                      <w:sz w:val="18"/>
                      <w:szCs w:val="18"/>
                    </w:rPr>
                  </w:pPr>
                  <w:r>
                    <w:rPr>
                      <w:rFonts w:hint="eastAsia" w:cs="宋体" w:asciiTheme="majorEastAsia" w:hAnsiTheme="majorEastAsia" w:eastAsiaTheme="majorEastAsia"/>
                      <w:b/>
                      <w:kern w:val="0"/>
                      <w:sz w:val="18"/>
                      <w:szCs w:val="18"/>
                    </w:rPr>
                    <w:t>地址</w:t>
                  </w:r>
                </w:p>
              </w:tc>
              <w:tc>
                <w:tcPr>
                  <w:tcW w:w="9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b/>
                      <w:kern w:val="0"/>
                      <w:sz w:val="18"/>
                      <w:szCs w:val="18"/>
                    </w:rPr>
                  </w:pPr>
                  <w:r>
                    <w:rPr>
                      <w:rFonts w:hint="eastAsia" w:cs="宋体" w:asciiTheme="majorEastAsia" w:hAnsiTheme="majorEastAsia" w:eastAsiaTheme="majorEastAsia"/>
                      <w:b/>
                      <w:kern w:val="0"/>
                      <w:sz w:val="18"/>
                      <w:szCs w:val="18"/>
                    </w:rPr>
                    <w:t>用途</w:t>
                  </w:r>
                </w:p>
              </w:tc>
              <w:tc>
                <w:tcPr>
                  <w:tcW w:w="10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b/>
                      <w:kern w:val="0"/>
                      <w:sz w:val="18"/>
                      <w:szCs w:val="18"/>
                    </w:rPr>
                  </w:pPr>
                  <w:r>
                    <w:rPr>
                      <w:rFonts w:hint="eastAsia" w:cs="宋体" w:asciiTheme="majorEastAsia" w:hAnsiTheme="majorEastAsia" w:eastAsiaTheme="majorEastAsia"/>
                      <w:b/>
                      <w:kern w:val="0"/>
                      <w:sz w:val="18"/>
                      <w:szCs w:val="18"/>
                    </w:rPr>
                    <w:t>面积</w:t>
                  </w:r>
                </w:p>
              </w:tc>
              <w:tc>
                <w:tcPr>
                  <w:tcW w:w="1155" w:type="dxa"/>
                  <w:tcBorders>
                    <w:top w:val="single" w:color="auto" w:sz="4" w:space="0"/>
                    <w:left w:val="nil"/>
                    <w:bottom w:val="single" w:color="auto" w:sz="4" w:space="0"/>
                    <w:right w:val="single" w:color="auto" w:sz="4" w:space="0"/>
                  </w:tcBorders>
                  <w:vAlign w:val="center"/>
                </w:tcPr>
                <w:p>
                  <w:pPr>
                    <w:autoSpaceDE w:val="0"/>
                    <w:autoSpaceDN w:val="0"/>
                    <w:adjustRightInd w:val="0"/>
                    <w:spacing w:before="100" w:after="100" w:line="260" w:lineRule="exact"/>
                    <w:jc w:val="center"/>
                    <w:rPr>
                      <w:rFonts w:ascii="宋体" w:hAnsi="宋体" w:cs="仿宋_GB2312"/>
                      <w:b/>
                      <w:bCs/>
                      <w:color w:val="000000"/>
                      <w:kern w:val="0"/>
                      <w:sz w:val="18"/>
                      <w:szCs w:val="18"/>
                      <w:lang w:val="zh-CN"/>
                    </w:rPr>
                  </w:pPr>
                  <w:r>
                    <w:rPr>
                      <w:rFonts w:hint="eastAsia" w:ascii="宋体" w:hAnsi="宋体" w:cs="仿宋_GB2312"/>
                      <w:b/>
                      <w:bCs/>
                      <w:color w:val="000000"/>
                      <w:kern w:val="0"/>
                      <w:sz w:val="18"/>
                      <w:szCs w:val="18"/>
                      <w:lang w:val="zh-CN"/>
                    </w:rPr>
                    <w:t>竞价起叫价</w:t>
                  </w:r>
                </w:p>
                <w:p>
                  <w:pPr>
                    <w:jc w:val="center"/>
                    <w:rPr>
                      <w:rFonts w:cs="宋体" w:asciiTheme="majorEastAsia" w:hAnsiTheme="majorEastAsia" w:eastAsiaTheme="majorEastAsia"/>
                      <w:b/>
                      <w:sz w:val="18"/>
                      <w:szCs w:val="18"/>
                    </w:rPr>
                  </w:pPr>
                  <w:r>
                    <w:rPr>
                      <w:rFonts w:hint="eastAsia" w:ascii="宋体" w:hAnsi="宋体" w:cs="仿宋_GB2312"/>
                      <w:b/>
                      <w:bCs/>
                      <w:color w:val="000000"/>
                      <w:kern w:val="0"/>
                      <w:sz w:val="18"/>
                      <w:szCs w:val="18"/>
                      <w:lang w:val="zh-CN"/>
                    </w:rPr>
                    <w:t>（元/月）</w:t>
                  </w:r>
                </w:p>
              </w:tc>
              <w:tc>
                <w:tcPr>
                  <w:tcW w:w="1336" w:type="dxa"/>
                  <w:tcBorders>
                    <w:top w:val="single" w:color="auto" w:sz="4" w:space="0"/>
                    <w:left w:val="nil"/>
                    <w:bottom w:val="single" w:color="auto" w:sz="4" w:space="0"/>
                    <w:right w:val="single" w:color="auto" w:sz="4" w:space="0"/>
                  </w:tcBorders>
                  <w:vAlign w:val="center"/>
                </w:tcPr>
                <w:p>
                  <w:pPr>
                    <w:autoSpaceDE w:val="0"/>
                    <w:autoSpaceDN w:val="0"/>
                    <w:adjustRightInd w:val="0"/>
                    <w:spacing w:before="100" w:after="100" w:line="260" w:lineRule="exact"/>
                    <w:jc w:val="center"/>
                    <w:rPr>
                      <w:rFonts w:cs="Arial" w:asciiTheme="majorEastAsia" w:hAnsiTheme="majorEastAsia" w:eastAsiaTheme="majorEastAsia"/>
                      <w:b/>
                      <w:color w:val="000000"/>
                      <w:sz w:val="18"/>
                      <w:szCs w:val="18"/>
                    </w:rPr>
                  </w:pPr>
                  <w:r>
                    <w:rPr>
                      <w:rFonts w:hint="eastAsia" w:cs="仿宋_GB2312" w:asciiTheme="majorEastAsia" w:hAnsiTheme="majorEastAsia" w:eastAsiaTheme="majorEastAsia"/>
                      <w:b/>
                      <w:bCs/>
                      <w:color w:val="000000"/>
                      <w:kern w:val="0"/>
                      <w:sz w:val="18"/>
                      <w:szCs w:val="18"/>
                      <w:lang w:val="zh-CN"/>
                    </w:rPr>
                    <w:t>竞价保证金（元）</w:t>
                  </w:r>
                </w:p>
              </w:tc>
              <w:tc>
                <w:tcPr>
                  <w:tcW w:w="1995" w:type="dxa"/>
                  <w:tcBorders>
                    <w:top w:val="single" w:color="auto" w:sz="4" w:space="0"/>
                    <w:left w:val="nil"/>
                    <w:bottom w:val="single" w:color="auto" w:sz="4" w:space="0"/>
                    <w:right w:val="single" w:color="auto" w:sz="4" w:space="0"/>
                  </w:tcBorders>
                  <w:vAlign w:val="center"/>
                </w:tcPr>
                <w:p>
                  <w:pPr>
                    <w:autoSpaceDE w:val="0"/>
                    <w:autoSpaceDN w:val="0"/>
                    <w:adjustRightInd w:val="0"/>
                    <w:spacing w:before="100" w:after="100" w:line="260" w:lineRule="exact"/>
                    <w:jc w:val="center"/>
                    <w:rPr>
                      <w:rFonts w:asciiTheme="majorEastAsia" w:hAnsiTheme="majorEastAsia" w:eastAsiaTheme="majorEastAsia"/>
                      <w:b/>
                      <w:bCs/>
                      <w:color w:val="000000"/>
                      <w:kern w:val="0"/>
                      <w:sz w:val="18"/>
                      <w:szCs w:val="18"/>
                      <w:lang w:val="zh-CN"/>
                    </w:rPr>
                  </w:pPr>
                  <w:r>
                    <w:rPr>
                      <w:rFonts w:hint="eastAsia" w:cs="仿宋_GB2312" w:asciiTheme="majorEastAsia" w:hAnsiTheme="majorEastAsia" w:eastAsiaTheme="majorEastAsia"/>
                      <w:b/>
                      <w:bCs/>
                      <w:color w:val="000000"/>
                      <w:kern w:val="0"/>
                      <w:sz w:val="18"/>
                      <w:szCs w:val="18"/>
                      <w:lang w:val="zh-CN"/>
                    </w:rPr>
                    <w:t>租赁期限（年）</w:t>
                  </w:r>
                </w:p>
              </w:tc>
            </w:tr>
            <w:tr>
              <w:tblPrEx>
                <w:tblLayout w:type="fixed"/>
                <w:tblCellMar>
                  <w:top w:w="0" w:type="dxa"/>
                  <w:left w:w="108" w:type="dxa"/>
                  <w:bottom w:w="0" w:type="dxa"/>
                  <w:right w:w="108" w:type="dxa"/>
                </w:tblCellMar>
              </w:tblPrEx>
              <w:trPr>
                <w:trHeight w:val="288"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1</w:t>
                  </w:r>
                </w:p>
              </w:tc>
              <w:tc>
                <w:tcPr>
                  <w:tcW w:w="2525"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湖光清洁楼楼下</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非住宅</w:t>
                  </w:r>
                </w:p>
              </w:tc>
              <w:tc>
                <w:tcPr>
                  <w:tcW w:w="101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72.00</w:t>
                  </w:r>
                </w:p>
              </w:tc>
              <w:tc>
                <w:tcPr>
                  <w:tcW w:w="1155"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3960</w:t>
                  </w:r>
                </w:p>
              </w:tc>
              <w:tc>
                <w:tcPr>
                  <w:tcW w:w="1336" w:type="dxa"/>
                  <w:tcBorders>
                    <w:top w:val="nil"/>
                    <w:left w:val="nil"/>
                    <w:bottom w:val="single" w:color="auto" w:sz="4" w:space="0"/>
                    <w:right w:val="single" w:color="auto" w:sz="4" w:space="0"/>
                  </w:tcBorders>
                  <w:vAlign w:val="center"/>
                </w:tcPr>
                <w:p>
                  <w:pPr>
                    <w:spacing w:line="300" w:lineRule="exact"/>
                    <w:jc w:val="center"/>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15000</w:t>
                  </w:r>
                </w:p>
              </w:tc>
              <w:tc>
                <w:tcPr>
                  <w:tcW w:w="1995"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三年，逐年递增1%</w:t>
                  </w:r>
                </w:p>
              </w:tc>
            </w:tr>
            <w:tr>
              <w:tblPrEx>
                <w:tblLayout w:type="fixed"/>
                <w:tblCellMar>
                  <w:top w:w="0" w:type="dxa"/>
                  <w:left w:w="108" w:type="dxa"/>
                  <w:bottom w:w="0" w:type="dxa"/>
                  <w:right w:w="108" w:type="dxa"/>
                </w:tblCellMar>
              </w:tblPrEx>
              <w:trPr>
                <w:trHeight w:val="388"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2</w:t>
                  </w:r>
                </w:p>
              </w:tc>
              <w:tc>
                <w:tcPr>
                  <w:tcW w:w="2525"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水仙路12-14号302室</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住宅</w:t>
                  </w:r>
                </w:p>
              </w:tc>
              <w:tc>
                <w:tcPr>
                  <w:tcW w:w="101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89</w:t>
                  </w:r>
                </w:p>
              </w:tc>
              <w:tc>
                <w:tcPr>
                  <w:tcW w:w="1155"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2314</w:t>
                  </w:r>
                </w:p>
              </w:tc>
              <w:tc>
                <w:tcPr>
                  <w:tcW w:w="1336" w:type="dxa"/>
                  <w:tcBorders>
                    <w:top w:val="nil"/>
                    <w:left w:val="nil"/>
                    <w:bottom w:val="single" w:color="auto" w:sz="4" w:space="0"/>
                    <w:right w:val="single" w:color="auto" w:sz="4" w:space="0"/>
                  </w:tcBorders>
                  <w:vAlign w:val="center"/>
                </w:tcPr>
                <w:p>
                  <w:pPr>
                    <w:spacing w:line="300" w:lineRule="exact"/>
                    <w:jc w:val="center"/>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8500</w:t>
                  </w:r>
                </w:p>
              </w:tc>
              <w:tc>
                <w:tcPr>
                  <w:tcW w:w="1995"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三年，逐年递增1%</w:t>
                  </w:r>
                </w:p>
              </w:tc>
            </w:tr>
            <w:tr>
              <w:tblPrEx>
                <w:tblLayout w:type="fixed"/>
                <w:tblCellMar>
                  <w:top w:w="0" w:type="dxa"/>
                  <w:left w:w="108" w:type="dxa"/>
                  <w:bottom w:w="0" w:type="dxa"/>
                  <w:right w:w="108" w:type="dxa"/>
                </w:tblCellMar>
              </w:tblPrEx>
              <w:trPr>
                <w:trHeight w:val="376"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3</w:t>
                  </w:r>
                </w:p>
              </w:tc>
              <w:tc>
                <w:tcPr>
                  <w:tcW w:w="2525"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相公宫路73号</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住宅</w:t>
                  </w:r>
                </w:p>
              </w:tc>
              <w:tc>
                <w:tcPr>
                  <w:tcW w:w="1011"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35</w:t>
                  </w:r>
                </w:p>
              </w:tc>
              <w:tc>
                <w:tcPr>
                  <w:tcW w:w="1155"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945</w:t>
                  </w:r>
                </w:p>
              </w:tc>
              <w:tc>
                <w:tcPr>
                  <w:tcW w:w="1336" w:type="dxa"/>
                  <w:tcBorders>
                    <w:top w:val="nil"/>
                    <w:left w:val="nil"/>
                    <w:bottom w:val="single" w:color="auto" w:sz="4" w:space="0"/>
                    <w:right w:val="single" w:color="auto" w:sz="4" w:space="0"/>
                  </w:tcBorders>
                  <w:vAlign w:val="center"/>
                </w:tcPr>
                <w:p>
                  <w:pPr>
                    <w:spacing w:line="300" w:lineRule="exact"/>
                    <w:jc w:val="center"/>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3500</w:t>
                  </w:r>
                </w:p>
              </w:tc>
              <w:tc>
                <w:tcPr>
                  <w:tcW w:w="1995"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三年，逐年递增1%</w:t>
                  </w:r>
                </w:p>
              </w:tc>
            </w:tr>
            <w:tr>
              <w:tblPrEx>
                <w:tblLayout w:type="fixed"/>
                <w:tblCellMar>
                  <w:top w:w="0" w:type="dxa"/>
                  <w:left w:w="108" w:type="dxa"/>
                  <w:bottom w:w="0" w:type="dxa"/>
                  <w:right w:w="108" w:type="dxa"/>
                </w:tblCellMar>
              </w:tblPrEx>
              <w:trPr>
                <w:trHeight w:val="407"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4</w:t>
                  </w:r>
                </w:p>
              </w:tc>
              <w:tc>
                <w:tcPr>
                  <w:tcW w:w="2525"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湖里区禾山路531号105室</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住宅</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88.89</w:t>
                  </w:r>
                </w:p>
              </w:tc>
              <w:tc>
                <w:tcPr>
                  <w:tcW w:w="1155" w:type="dxa"/>
                  <w:tcBorders>
                    <w:top w:val="nil"/>
                    <w:left w:val="nil"/>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1956</w:t>
                  </w:r>
                </w:p>
              </w:tc>
              <w:tc>
                <w:tcPr>
                  <w:tcW w:w="1336" w:type="dxa"/>
                  <w:tcBorders>
                    <w:top w:val="nil"/>
                    <w:left w:val="nil"/>
                    <w:bottom w:val="single" w:color="auto" w:sz="4" w:space="0"/>
                    <w:right w:val="single" w:color="auto" w:sz="4" w:space="0"/>
                  </w:tcBorders>
                  <w:vAlign w:val="center"/>
                </w:tcPr>
                <w:p>
                  <w:pPr>
                    <w:spacing w:line="300" w:lineRule="exact"/>
                    <w:jc w:val="center"/>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8000</w:t>
                  </w:r>
                </w:p>
              </w:tc>
              <w:tc>
                <w:tcPr>
                  <w:tcW w:w="199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asciiTheme="majorEastAsia" w:hAnsiTheme="majorEastAsia" w:eastAsiaTheme="majorEastAsia"/>
                      <w:kern w:val="0"/>
                      <w:sz w:val="18"/>
                      <w:szCs w:val="18"/>
                    </w:rPr>
                    <w:t>三年，逐年递增1%</w:t>
                  </w:r>
                </w:p>
              </w:tc>
            </w:tr>
            <w:tr>
              <w:tblPrEx>
                <w:tblLayout w:type="fixed"/>
                <w:tblCellMar>
                  <w:top w:w="0" w:type="dxa"/>
                  <w:left w:w="108" w:type="dxa"/>
                  <w:bottom w:w="0" w:type="dxa"/>
                  <w:right w:w="108" w:type="dxa"/>
                </w:tblCellMar>
              </w:tblPrEx>
              <w:trPr>
                <w:trHeight w:val="407"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5</w:t>
                  </w:r>
                </w:p>
              </w:tc>
              <w:tc>
                <w:tcPr>
                  <w:tcW w:w="2525"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湖里区禾山路531号106室</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住宅</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88.89</w:t>
                  </w:r>
                </w:p>
              </w:tc>
              <w:tc>
                <w:tcPr>
                  <w:tcW w:w="1155" w:type="dxa"/>
                  <w:tcBorders>
                    <w:top w:val="nil"/>
                    <w:left w:val="nil"/>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1956</w:t>
                  </w:r>
                </w:p>
              </w:tc>
              <w:tc>
                <w:tcPr>
                  <w:tcW w:w="1336" w:type="dxa"/>
                  <w:tcBorders>
                    <w:top w:val="nil"/>
                    <w:left w:val="nil"/>
                    <w:bottom w:val="single" w:color="auto" w:sz="4" w:space="0"/>
                    <w:right w:val="single" w:color="auto" w:sz="4" w:space="0"/>
                  </w:tcBorders>
                  <w:vAlign w:val="center"/>
                </w:tcPr>
                <w:p>
                  <w:pPr>
                    <w:spacing w:line="300" w:lineRule="exact"/>
                    <w:jc w:val="center"/>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8000</w:t>
                  </w:r>
                </w:p>
              </w:tc>
              <w:tc>
                <w:tcPr>
                  <w:tcW w:w="199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asciiTheme="majorEastAsia" w:hAnsiTheme="majorEastAsia" w:eastAsiaTheme="majorEastAsia"/>
                      <w:kern w:val="0"/>
                      <w:sz w:val="18"/>
                      <w:szCs w:val="18"/>
                    </w:rPr>
                    <w:t>三年，逐年递增1%</w:t>
                  </w:r>
                </w:p>
              </w:tc>
            </w:tr>
            <w:tr>
              <w:tblPrEx>
                <w:tblLayout w:type="fixed"/>
                <w:tblCellMar>
                  <w:top w:w="0" w:type="dxa"/>
                  <w:left w:w="108" w:type="dxa"/>
                  <w:bottom w:w="0" w:type="dxa"/>
                  <w:right w:w="108" w:type="dxa"/>
                </w:tblCellMar>
              </w:tblPrEx>
              <w:trPr>
                <w:trHeight w:val="407"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6</w:t>
                  </w:r>
                </w:p>
              </w:tc>
              <w:tc>
                <w:tcPr>
                  <w:tcW w:w="2525"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湖里区禾山路531号205室</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住宅</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88.89</w:t>
                  </w:r>
                </w:p>
              </w:tc>
              <w:tc>
                <w:tcPr>
                  <w:tcW w:w="1155" w:type="dxa"/>
                  <w:tcBorders>
                    <w:top w:val="nil"/>
                    <w:left w:val="nil"/>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2044</w:t>
                  </w:r>
                </w:p>
              </w:tc>
              <w:tc>
                <w:tcPr>
                  <w:tcW w:w="1336" w:type="dxa"/>
                  <w:tcBorders>
                    <w:top w:val="nil"/>
                    <w:left w:val="nil"/>
                    <w:bottom w:val="single" w:color="auto" w:sz="4" w:space="0"/>
                    <w:right w:val="single" w:color="auto" w:sz="4" w:space="0"/>
                  </w:tcBorders>
                  <w:vAlign w:val="center"/>
                </w:tcPr>
                <w:p>
                  <w:pPr>
                    <w:spacing w:line="300" w:lineRule="exact"/>
                    <w:jc w:val="center"/>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8000</w:t>
                  </w:r>
                </w:p>
              </w:tc>
              <w:tc>
                <w:tcPr>
                  <w:tcW w:w="199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asciiTheme="majorEastAsia" w:hAnsiTheme="majorEastAsia" w:eastAsiaTheme="majorEastAsia"/>
                      <w:kern w:val="0"/>
                      <w:sz w:val="18"/>
                      <w:szCs w:val="18"/>
                    </w:rPr>
                    <w:t>三年，逐年递增1%</w:t>
                  </w:r>
                </w:p>
              </w:tc>
            </w:tr>
            <w:tr>
              <w:tblPrEx>
                <w:tblLayout w:type="fixed"/>
                <w:tblCellMar>
                  <w:top w:w="0" w:type="dxa"/>
                  <w:left w:w="108" w:type="dxa"/>
                  <w:bottom w:w="0" w:type="dxa"/>
                  <w:right w:w="108" w:type="dxa"/>
                </w:tblCellMar>
              </w:tblPrEx>
              <w:trPr>
                <w:trHeight w:val="376"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kern w:val="0"/>
                      <w:sz w:val="18"/>
                      <w:szCs w:val="18"/>
                    </w:rPr>
                  </w:pPr>
                  <w:r>
                    <w:rPr>
                      <w:rFonts w:asciiTheme="majorEastAsia" w:hAnsiTheme="majorEastAsia" w:eastAsiaTheme="majorEastAsia"/>
                      <w:kern w:val="0"/>
                      <w:sz w:val="18"/>
                      <w:szCs w:val="18"/>
                    </w:rPr>
                    <w:t>7</w:t>
                  </w:r>
                </w:p>
              </w:tc>
              <w:tc>
                <w:tcPr>
                  <w:tcW w:w="2525"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湖里区禾山路531号206室</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住宅</w:t>
                  </w:r>
                </w:p>
              </w:tc>
              <w:tc>
                <w:tcPr>
                  <w:tcW w:w="10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88.89</w:t>
                  </w:r>
                </w:p>
              </w:tc>
              <w:tc>
                <w:tcPr>
                  <w:tcW w:w="1155" w:type="dxa"/>
                  <w:tcBorders>
                    <w:top w:val="nil"/>
                    <w:left w:val="nil"/>
                    <w:bottom w:val="single" w:color="auto" w:sz="4" w:space="0"/>
                    <w:right w:val="single" w:color="auto" w:sz="4" w:space="0"/>
                  </w:tcBorders>
                  <w:vAlign w:val="center"/>
                </w:tcPr>
                <w:p>
                  <w:pPr>
                    <w:jc w:val="center"/>
                    <w:rPr>
                      <w:rFonts w:cs="宋体" w:asciiTheme="majorEastAsia" w:hAnsiTheme="majorEastAsia" w:eastAsiaTheme="majorEastAsia"/>
                      <w:sz w:val="18"/>
                      <w:szCs w:val="18"/>
                    </w:rPr>
                  </w:pPr>
                  <w:r>
                    <w:rPr>
                      <w:rFonts w:hint="eastAsia" w:asciiTheme="majorEastAsia" w:hAnsiTheme="majorEastAsia" w:eastAsiaTheme="majorEastAsia"/>
                      <w:sz w:val="18"/>
                      <w:szCs w:val="18"/>
                    </w:rPr>
                    <w:t>2044</w:t>
                  </w:r>
                </w:p>
              </w:tc>
              <w:tc>
                <w:tcPr>
                  <w:tcW w:w="1336" w:type="dxa"/>
                  <w:tcBorders>
                    <w:top w:val="nil"/>
                    <w:left w:val="nil"/>
                    <w:bottom w:val="single" w:color="auto" w:sz="4" w:space="0"/>
                    <w:right w:val="single" w:color="auto" w:sz="4" w:space="0"/>
                  </w:tcBorders>
                  <w:vAlign w:val="center"/>
                </w:tcPr>
                <w:p>
                  <w:pPr>
                    <w:spacing w:line="300" w:lineRule="exact"/>
                    <w:jc w:val="center"/>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8000</w:t>
                  </w:r>
                </w:p>
              </w:tc>
              <w:tc>
                <w:tcPr>
                  <w:tcW w:w="199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asciiTheme="majorEastAsia" w:hAnsiTheme="majorEastAsia" w:eastAsiaTheme="majorEastAsia"/>
                      <w:kern w:val="0"/>
                      <w:sz w:val="18"/>
                      <w:szCs w:val="18"/>
                    </w:rPr>
                    <w:t>三年，逐年递增1%</w:t>
                  </w:r>
                </w:p>
              </w:tc>
            </w:tr>
          </w:tbl>
          <w:p>
            <w:pPr>
              <w:keepNext w:val="0"/>
              <w:keepLines w:val="0"/>
              <w:pageBreakBefore w:val="0"/>
              <w:widowControl w:val="0"/>
              <w:kinsoku/>
              <w:wordWrap/>
              <w:overflowPunct/>
              <w:topLinePunct w:val="0"/>
              <w:autoSpaceDE/>
              <w:autoSpaceDN/>
              <w:bidi w:val="0"/>
              <w:adjustRightInd/>
              <w:snapToGrid/>
              <w:spacing w:before="235" w:beforeLines="75" w:line="360" w:lineRule="exact"/>
              <w:ind w:left="1178" w:leftChars="228" w:hanging="699" w:hangingChars="290"/>
              <w:textAlignment w:val="auto"/>
              <w:rPr>
                <w:rFonts w:ascii="黑体" w:hAnsi="黑体" w:eastAsia="黑体"/>
                <w:sz w:val="24"/>
              </w:rPr>
            </w:pPr>
            <w:r>
              <w:rPr>
                <w:rFonts w:hint="eastAsia" w:ascii="黑体" w:hAnsi="黑体" w:eastAsia="黑体"/>
                <w:b/>
                <w:sz w:val="24"/>
              </w:rPr>
              <w:t>竞价时间</w:t>
            </w:r>
            <w:r>
              <w:rPr>
                <w:rFonts w:hint="eastAsia" w:ascii="黑体" w:hAnsi="黑体" w:eastAsia="黑体"/>
                <w:sz w:val="24"/>
              </w:rPr>
              <w:t>：</w:t>
            </w:r>
            <w:r>
              <w:rPr>
                <w:rFonts w:ascii="黑体" w:hAnsi="黑体" w:eastAsia="黑体" w:cs="宋体"/>
                <w:kern w:val="0"/>
                <w:sz w:val="24"/>
              </w:rPr>
              <w:t>201</w:t>
            </w:r>
            <w:r>
              <w:rPr>
                <w:rFonts w:hint="eastAsia" w:ascii="黑体" w:hAnsi="黑体" w:eastAsia="黑体" w:cs="宋体"/>
                <w:kern w:val="0"/>
                <w:sz w:val="24"/>
              </w:rPr>
              <w:t>9年9月11日(星期三)上午10:00</w:t>
            </w:r>
            <w:bookmarkStart w:id="0" w:name="_GoBack"/>
            <w:bookmarkEnd w:id="0"/>
          </w:p>
          <w:p>
            <w:pPr>
              <w:spacing w:beforeLines="25" w:line="360" w:lineRule="exact"/>
              <w:ind w:firstLine="482" w:firstLineChars="200"/>
              <w:textAlignment w:val="baseline"/>
              <w:rPr>
                <w:rFonts w:ascii="黑体" w:hAnsi="黑体" w:eastAsia="黑体"/>
                <w:color w:val="000000"/>
                <w:sz w:val="24"/>
              </w:rPr>
            </w:pPr>
            <w:r>
              <w:rPr>
                <w:rFonts w:hint="eastAsia" w:ascii="黑体" w:hAnsi="黑体" w:eastAsia="黑体"/>
                <w:b/>
                <w:color w:val="000000"/>
                <w:sz w:val="24"/>
              </w:rPr>
              <w:t>竞价网址</w:t>
            </w:r>
            <w:r>
              <w:rPr>
                <w:rFonts w:hint="eastAsia" w:ascii="黑体" w:hAnsi="黑体" w:eastAsia="黑体"/>
                <w:color w:val="000000"/>
                <w:sz w:val="24"/>
              </w:rPr>
              <w:t>：竞买人登录网络竞买端：厦门市公共资源市场配置系统（竞价端）（其网址为：</w:t>
            </w:r>
            <w:r>
              <w:fldChar w:fldCharType="begin"/>
            </w:r>
            <w:r>
              <w:instrText xml:space="preserve"> HYPERLINK "http://117.25.161.110:8082/ggzyscpz/" \t "_blank" </w:instrText>
            </w:r>
            <w:r>
              <w:fldChar w:fldCharType="separate"/>
            </w:r>
            <w:r>
              <w:rPr>
                <w:rStyle w:val="4"/>
                <w:rFonts w:ascii="黑体" w:hAnsi="黑体" w:eastAsia="黑体"/>
                <w:color w:val="1E5494"/>
                <w:sz w:val="24"/>
                <w:shd w:val="clear" w:color="auto" w:fill="FFFFFF"/>
              </w:rPr>
              <w:t>http://117.25.161.110:8082/ggzyscpz/</w:t>
            </w:r>
            <w:r>
              <w:rPr>
                <w:rStyle w:val="4"/>
                <w:rFonts w:ascii="黑体" w:hAnsi="黑体" w:eastAsia="黑体"/>
                <w:color w:val="1E5494"/>
                <w:sz w:val="24"/>
                <w:shd w:val="clear" w:color="auto" w:fill="FFFFFF"/>
              </w:rPr>
              <w:fldChar w:fldCharType="end"/>
            </w:r>
            <w:r>
              <w:rPr>
                <w:rFonts w:hint="eastAsia" w:ascii="黑体" w:hAnsi="黑体" w:eastAsia="黑体"/>
                <w:color w:val="000000"/>
                <w:sz w:val="24"/>
              </w:rPr>
              <w:t>）</w:t>
            </w:r>
          </w:p>
          <w:p>
            <w:pPr>
              <w:ind w:firstLine="482" w:firstLineChars="200"/>
              <w:rPr>
                <w:rFonts w:ascii="黑体" w:hAnsi="黑体" w:eastAsia="黑体" w:cs="宋体"/>
                <w:color w:val="000000"/>
                <w:kern w:val="0"/>
                <w:sz w:val="24"/>
              </w:rPr>
            </w:pPr>
            <w:r>
              <w:rPr>
                <w:rFonts w:hint="eastAsia" w:ascii="黑体" w:hAnsi="黑体" w:eastAsia="黑体"/>
                <w:b/>
                <w:color w:val="000000"/>
                <w:sz w:val="24"/>
              </w:rPr>
              <w:t>竞价者条件</w:t>
            </w:r>
            <w:r>
              <w:rPr>
                <w:rFonts w:hint="eastAsia" w:ascii="黑体" w:hAnsi="黑体" w:eastAsia="黑体"/>
                <w:color w:val="000000"/>
                <w:sz w:val="24"/>
              </w:rPr>
              <w:t>：</w:t>
            </w:r>
            <w:r>
              <w:rPr>
                <w:rFonts w:hint="eastAsia" w:ascii="黑体" w:hAnsi="黑体" w:eastAsia="黑体" w:cs="宋体"/>
                <w:color w:val="000000"/>
                <w:kern w:val="0"/>
                <w:sz w:val="24"/>
              </w:rPr>
              <w:t>承租人必须是在中华人民共和国合法注册和按时进行年检的独立法人企业或自然人</w:t>
            </w:r>
            <w:r>
              <w:rPr>
                <w:rFonts w:hint="eastAsia" w:ascii="黑体" w:hAnsi="黑体" w:eastAsia="黑体"/>
                <w:color w:val="000000"/>
                <w:sz w:val="24"/>
              </w:rPr>
              <w:t>。</w:t>
            </w:r>
          </w:p>
          <w:p>
            <w:pPr>
              <w:spacing w:beforeLines="25" w:line="360" w:lineRule="exact"/>
              <w:ind w:firstLine="482" w:firstLineChars="200"/>
              <w:textAlignment w:val="baseline"/>
              <w:rPr>
                <w:rFonts w:ascii="黑体" w:hAnsi="黑体" w:eastAsia="黑体"/>
                <w:sz w:val="24"/>
              </w:rPr>
            </w:pPr>
            <w:r>
              <w:rPr>
                <w:rFonts w:hint="eastAsia" w:ascii="黑体" w:hAnsi="黑体" w:eastAsia="黑体"/>
                <w:b/>
                <w:color w:val="000000"/>
                <w:sz w:val="24"/>
              </w:rPr>
              <w:t>竞价保证金</w:t>
            </w:r>
            <w:r>
              <w:rPr>
                <w:rFonts w:hint="eastAsia" w:ascii="黑体" w:hAnsi="黑体" w:eastAsia="黑体"/>
                <w:color w:val="000000"/>
                <w:sz w:val="24"/>
              </w:rPr>
              <w:t>：竞价人参与竞价须缴纳竞价保证金</w:t>
            </w:r>
            <w:r>
              <w:rPr>
                <w:rFonts w:hint="eastAsia" w:ascii="黑体" w:hAnsi="黑体" w:eastAsia="黑体"/>
                <w:sz w:val="24"/>
              </w:rPr>
              <w:t>，缴纳</w:t>
            </w:r>
            <w:r>
              <w:rPr>
                <w:rFonts w:hint="eastAsia" w:ascii="黑体" w:hAnsi="黑体" w:eastAsia="黑体"/>
                <w:color w:val="000000"/>
                <w:sz w:val="24"/>
              </w:rPr>
              <w:t>保证金截止时间</w:t>
            </w:r>
            <w:r>
              <w:rPr>
                <w:rFonts w:ascii="黑体" w:hAnsi="黑体" w:eastAsia="黑体"/>
                <w:sz w:val="24"/>
              </w:rPr>
              <w:t>201</w:t>
            </w:r>
            <w:r>
              <w:rPr>
                <w:rFonts w:hint="eastAsia" w:ascii="黑体" w:hAnsi="黑体" w:eastAsia="黑体"/>
                <w:sz w:val="24"/>
              </w:rPr>
              <w:t>9年9月9日</w:t>
            </w:r>
            <w:r>
              <w:rPr>
                <w:rFonts w:ascii="黑体" w:hAnsi="黑体" w:eastAsia="黑体"/>
                <w:sz w:val="24"/>
              </w:rPr>
              <w:t>1</w:t>
            </w:r>
            <w:r>
              <w:rPr>
                <w:rFonts w:hint="eastAsia" w:ascii="黑体" w:hAnsi="黑体" w:eastAsia="黑体"/>
                <w:sz w:val="24"/>
              </w:rPr>
              <w:t>6</w:t>
            </w:r>
            <w:r>
              <w:rPr>
                <w:rFonts w:ascii="黑体" w:hAnsi="黑体" w:eastAsia="黑体"/>
                <w:sz w:val="24"/>
              </w:rPr>
              <w:t>:</w:t>
            </w:r>
            <w:r>
              <w:rPr>
                <w:rFonts w:hint="eastAsia" w:ascii="黑体" w:hAnsi="黑体" w:eastAsia="黑体"/>
                <w:sz w:val="24"/>
              </w:rPr>
              <w:t>3</w:t>
            </w:r>
            <w:r>
              <w:rPr>
                <w:rFonts w:ascii="黑体" w:hAnsi="黑体" w:eastAsia="黑体"/>
                <w:sz w:val="24"/>
              </w:rPr>
              <w:t>0</w:t>
            </w:r>
            <w:r>
              <w:rPr>
                <w:rFonts w:hint="eastAsia" w:ascii="黑体" w:hAnsi="黑体" w:eastAsia="黑体"/>
                <w:sz w:val="24"/>
              </w:rPr>
              <w:t>前,保证金账户(户名:福建省鹏翰拍卖有限公司；</w:t>
            </w:r>
            <w:r>
              <w:rPr>
                <w:rFonts w:hint="eastAsia" w:ascii="黑体" w:hAnsi="黑体" w:eastAsia="黑体" w:cs="Tahoma"/>
                <w:sz w:val="24"/>
              </w:rPr>
              <w:t>开户行：</w:t>
            </w:r>
            <w:r>
              <w:rPr>
                <w:rFonts w:hint="eastAsia" w:ascii="黑体" w:hAnsi="黑体" w:eastAsia="黑体" w:cs="宋体"/>
                <w:bCs/>
                <w:color w:val="000000"/>
                <w:kern w:val="0"/>
                <w:sz w:val="24"/>
              </w:rPr>
              <w:t>中国农业银行股份有限公司厦门梧村支行</w:t>
            </w:r>
            <w:r>
              <w:rPr>
                <w:rFonts w:hint="eastAsia" w:ascii="黑体" w:hAnsi="黑体" w:eastAsia="黑体" w:cs="Tahoma"/>
                <w:sz w:val="24"/>
              </w:rPr>
              <w:t>，</w:t>
            </w:r>
            <w:r>
              <w:rPr>
                <w:rFonts w:hint="eastAsia" w:ascii="黑体" w:hAnsi="黑体" w:eastAsia="黑体"/>
                <w:sz w:val="24"/>
              </w:rPr>
              <w:t>账号：</w:t>
            </w:r>
            <w:r>
              <w:rPr>
                <w:rFonts w:hint="eastAsia" w:ascii="黑体" w:hAnsi="黑体" w:eastAsia="黑体" w:cs="宋体"/>
                <w:kern w:val="0"/>
                <w:sz w:val="24"/>
              </w:rPr>
              <w:t>40349001040007310)</w:t>
            </w:r>
            <w:r>
              <w:rPr>
                <w:rFonts w:hint="eastAsia" w:ascii="黑体" w:hAnsi="黑体" w:eastAsia="黑体" w:cs="Tahoma"/>
                <w:sz w:val="24"/>
              </w:rPr>
              <w:t>,</w:t>
            </w:r>
            <w:r>
              <w:rPr>
                <w:rFonts w:hint="eastAsia" w:ascii="黑体" w:hAnsi="黑体" w:eastAsia="黑体"/>
                <w:sz w:val="24"/>
              </w:rPr>
              <w:t>保证金以实际到账时间为准。</w:t>
            </w:r>
          </w:p>
          <w:p>
            <w:pPr>
              <w:spacing w:beforeLines="25" w:line="360" w:lineRule="exact"/>
              <w:ind w:firstLine="482" w:firstLineChars="200"/>
              <w:textAlignment w:val="baseline"/>
              <w:rPr>
                <w:rFonts w:ascii="黑体" w:hAnsi="黑体" w:eastAsia="黑体" w:cs="宋体"/>
                <w:kern w:val="0"/>
                <w:sz w:val="24"/>
              </w:rPr>
            </w:pPr>
            <w:r>
              <w:rPr>
                <w:rFonts w:hint="eastAsia" w:ascii="黑体" w:hAnsi="黑体" w:eastAsia="黑体"/>
                <w:b/>
                <w:sz w:val="24"/>
              </w:rPr>
              <w:t>看样时间及地点</w:t>
            </w:r>
            <w:r>
              <w:rPr>
                <w:rFonts w:hint="eastAsia" w:ascii="黑体" w:hAnsi="黑体" w:eastAsia="黑体"/>
                <w:sz w:val="24"/>
              </w:rPr>
              <w:t>：集中看样时间</w:t>
            </w:r>
            <w:r>
              <w:rPr>
                <w:rFonts w:ascii="黑体" w:hAnsi="黑体" w:eastAsia="黑体"/>
                <w:sz w:val="24"/>
              </w:rPr>
              <w:t>:201</w:t>
            </w:r>
            <w:r>
              <w:rPr>
                <w:rFonts w:hint="eastAsia" w:ascii="黑体" w:hAnsi="黑体" w:eastAsia="黑体"/>
                <w:sz w:val="24"/>
              </w:rPr>
              <w:t>9年9月3日-4日(</w:t>
            </w:r>
            <w:r>
              <w:rPr>
                <w:rFonts w:hint="eastAsia" w:ascii="黑体" w:hAnsi="黑体" w:eastAsia="黑体" w:cs="宋体"/>
                <w:color w:val="000000"/>
                <w:kern w:val="0"/>
                <w:szCs w:val="21"/>
              </w:rPr>
              <w:t>正常工作时间)</w:t>
            </w:r>
            <w:r>
              <w:rPr>
                <w:rFonts w:hint="eastAsia" w:ascii="黑体" w:hAnsi="黑体" w:eastAsia="黑体"/>
                <w:sz w:val="24"/>
              </w:rPr>
              <w:t>在标的现场。</w:t>
            </w:r>
          </w:p>
          <w:p>
            <w:pPr>
              <w:spacing w:beforeLines="25" w:line="360" w:lineRule="exact"/>
              <w:ind w:firstLine="482" w:firstLineChars="200"/>
              <w:textAlignment w:val="baseline"/>
              <w:rPr>
                <w:rFonts w:ascii="黑体" w:hAnsi="黑体" w:eastAsia="黑体"/>
                <w:sz w:val="24"/>
              </w:rPr>
            </w:pPr>
            <w:r>
              <w:rPr>
                <w:rFonts w:hint="eastAsia" w:ascii="黑体" w:hAnsi="黑体" w:eastAsia="黑体"/>
                <w:b/>
                <w:sz w:val="24"/>
              </w:rPr>
              <w:t>办理竞买登记手续截止时间</w:t>
            </w:r>
            <w:r>
              <w:rPr>
                <w:rFonts w:hint="eastAsia" w:ascii="黑体" w:hAnsi="黑体" w:eastAsia="黑体"/>
                <w:sz w:val="24"/>
              </w:rPr>
              <w:t>：</w:t>
            </w:r>
            <w:r>
              <w:rPr>
                <w:rFonts w:ascii="黑体" w:hAnsi="黑体" w:eastAsia="黑体"/>
                <w:sz w:val="24"/>
              </w:rPr>
              <w:t>201</w:t>
            </w:r>
            <w:r>
              <w:rPr>
                <w:rFonts w:hint="eastAsia" w:ascii="黑体" w:hAnsi="黑体" w:eastAsia="黑体"/>
                <w:sz w:val="24"/>
              </w:rPr>
              <w:t>9年9月9日</w:t>
            </w:r>
            <w:r>
              <w:rPr>
                <w:rFonts w:ascii="黑体" w:hAnsi="黑体" w:eastAsia="黑体"/>
                <w:sz w:val="24"/>
              </w:rPr>
              <w:t>17</w:t>
            </w:r>
            <w:r>
              <w:rPr>
                <w:rFonts w:hint="eastAsia" w:ascii="黑体" w:hAnsi="黑体" w:eastAsia="黑体"/>
                <w:sz w:val="24"/>
              </w:rPr>
              <w:t>：</w:t>
            </w:r>
            <w:r>
              <w:rPr>
                <w:rFonts w:ascii="黑体" w:hAnsi="黑体" w:eastAsia="黑体"/>
                <w:sz w:val="24"/>
              </w:rPr>
              <w:t>00</w:t>
            </w:r>
            <w:r>
              <w:rPr>
                <w:rFonts w:hint="eastAsia" w:ascii="黑体" w:hAnsi="黑体" w:eastAsia="黑体"/>
                <w:sz w:val="24"/>
              </w:rPr>
              <w:t>之前,逾期将无法办理。</w:t>
            </w:r>
          </w:p>
          <w:p>
            <w:pPr>
              <w:spacing w:beforeLines="25" w:line="360" w:lineRule="exact"/>
              <w:ind w:firstLine="482" w:firstLineChars="200"/>
              <w:textAlignment w:val="baseline"/>
              <w:rPr>
                <w:rFonts w:ascii="黑体" w:hAnsi="黑体" w:eastAsia="黑体"/>
                <w:sz w:val="24"/>
              </w:rPr>
            </w:pPr>
            <w:r>
              <w:rPr>
                <w:rFonts w:hint="eastAsia" w:ascii="黑体" w:hAnsi="黑体" w:eastAsia="黑体"/>
                <w:b/>
                <w:sz w:val="24"/>
              </w:rPr>
              <w:t>报名及索取详细资料的时间、地点</w:t>
            </w:r>
            <w:r>
              <w:rPr>
                <w:rFonts w:hint="eastAsia" w:ascii="黑体" w:hAnsi="黑体" w:eastAsia="黑体"/>
                <w:sz w:val="24"/>
              </w:rPr>
              <w:t>：</w:t>
            </w:r>
            <w:r>
              <w:rPr>
                <w:rFonts w:ascii="黑体" w:hAnsi="黑体" w:eastAsia="黑体"/>
                <w:sz w:val="24"/>
              </w:rPr>
              <w:t>201</w:t>
            </w:r>
            <w:r>
              <w:rPr>
                <w:rFonts w:hint="eastAsia" w:ascii="黑体" w:hAnsi="黑体" w:eastAsia="黑体"/>
                <w:sz w:val="24"/>
              </w:rPr>
              <w:t>9年9月9日（9</w:t>
            </w:r>
            <w:r>
              <w:rPr>
                <w:rFonts w:ascii="黑体" w:hAnsi="黑体" w:eastAsia="黑体"/>
                <w:sz w:val="24"/>
              </w:rPr>
              <w:t>:00-17:00</w:t>
            </w:r>
            <w:r>
              <w:rPr>
                <w:rFonts w:hint="eastAsia" w:ascii="黑体" w:hAnsi="黑体" w:eastAsia="黑体"/>
                <w:sz w:val="24"/>
              </w:rPr>
              <w:t>），云顶北路842号市行政服务中心四楼信息发布大厅22号窗口办理报名登记手续。</w:t>
            </w:r>
          </w:p>
          <w:p>
            <w:pPr>
              <w:spacing w:beforeLines="25" w:line="360" w:lineRule="exact"/>
              <w:ind w:firstLine="482" w:firstLineChars="200"/>
              <w:textAlignment w:val="baseline"/>
              <w:rPr>
                <w:rFonts w:ascii="黑体" w:hAnsi="黑体" w:eastAsia="黑体"/>
                <w:sz w:val="24"/>
              </w:rPr>
            </w:pPr>
            <w:r>
              <w:rPr>
                <w:rFonts w:hint="eastAsia" w:ascii="黑体" w:hAnsi="黑体" w:eastAsia="黑体"/>
                <w:b/>
                <w:sz w:val="24"/>
              </w:rPr>
              <w:t>优先权人:</w:t>
            </w:r>
            <w:r>
              <w:rPr>
                <w:rFonts w:hint="eastAsia" w:ascii="黑体" w:hAnsi="黑体" w:eastAsia="黑体" w:cs="宋体"/>
                <w:color w:val="000000"/>
                <w:kern w:val="0"/>
                <w:sz w:val="24"/>
              </w:rPr>
              <w:t>原承租人对所承租的房屋享有同等价位的优先承租权，原承租人应在规定的截止时间之前交纳竞价保证金,办理竞价手续,逾期视为放弃该等权利。</w:t>
            </w:r>
            <w:r>
              <w:rPr>
                <w:rFonts w:hint="eastAsia" w:ascii="黑体" w:hAnsi="黑体" w:eastAsia="黑体"/>
                <w:sz w:val="24"/>
              </w:rPr>
              <w:t xml:space="preserve"> </w:t>
            </w:r>
          </w:p>
          <w:p>
            <w:pPr>
              <w:spacing w:beforeLines="25" w:line="360" w:lineRule="exact"/>
              <w:ind w:firstLine="482" w:firstLineChars="200"/>
              <w:textAlignment w:val="baseline"/>
              <w:rPr>
                <w:rFonts w:ascii="黑体" w:hAnsi="黑体" w:eastAsia="黑体"/>
                <w:sz w:val="24"/>
              </w:rPr>
            </w:pPr>
            <w:r>
              <w:rPr>
                <w:rFonts w:hint="eastAsia" w:ascii="黑体" w:hAnsi="黑体" w:eastAsia="黑体"/>
                <w:b/>
                <w:sz w:val="24"/>
              </w:rPr>
              <w:t>咨询电话</w:t>
            </w:r>
            <w:r>
              <w:rPr>
                <w:rFonts w:ascii="黑体" w:hAnsi="黑体" w:eastAsia="黑体"/>
                <w:sz w:val="24"/>
              </w:rPr>
              <w:t xml:space="preserve">: </w:t>
            </w:r>
            <w:r>
              <w:rPr>
                <w:rFonts w:hint="eastAsia" w:ascii="黑体" w:hAnsi="黑体" w:eastAsia="黑体"/>
                <w:sz w:val="24"/>
              </w:rPr>
              <w:t xml:space="preserve">（鹏翰拍卖）18059089190; </w:t>
            </w:r>
            <w:r>
              <w:rPr>
                <w:rFonts w:ascii="黑体" w:hAnsi="黑体" w:eastAsia="黑体"/>
                <w:sz w:val="24"/>
              </w:rPr>
              <w:t>0592-</w:t>
            </w:r>
            <w:r>
              <w:rPr>
                <w:rFonts w:hint="eastAsia" w:ascii="黑体" w:hAnsi="黑体" w:eastAsia="黑体"/>
                <w:sz w:val="24"/>
              </w:rPr>
              <w:t>2962238    2969566；</w:t>
            </w:r>
          </w:p>
          <w:p>
            <w:pPr>
              <w:spacing w:beforeLines="25" w:line="360" w:lineRule="exact"/>
              <w:textAlignment w:val="baseline"/>
              <w:rPr>
                <w:rFonts w:ascii="黑体" w:hAnsi="黑体" w:eastAsia="黑体"/>
                <w:sz w:val="24"/>
              </w:rPr>
            </w:pPr>
            <w:r>
              <w:rPr>
                <w:rFonts w:hint="eastAsia" w:ascii="黑体" w:hAnsi="黑体" w:eastAsia="黑体"/>
                <w:sz w:val="24"/>
              </w:rPr>
              <w:t xml:space="preserve">              （</w:t>
            </w:r>
            <w:r>
              <w:rPr>
                <w:rFonts w:hint="eastAsia" w:ascii="黑体" w:hAnsi="黑体" w:eastAsia="黑体" w:cs="宋体"/>
                <w:color w:val="000000"/>
                <w:kern w:val="0"/>
                <w:sz w:val="24"/>
              </w:rPr>
              <w:t>思明区行政事业资产中心</w:t>
            </w:r>
            <w:r>
              <w:rPr>
                <w:rFonts w:hint="eastAsia" w:ascii="黑体" w:hAnsi="黑体" w:eastAsia="黑体"/>
                <w:sz w:val="24"/>
              </w:rPr>
              <w:t>）0592-2667981。</w:t>
            </w:r>
          </w:p>
          <w:p>
            <w:pPr>
              <w:keepNext w:val="0"/>
              <w:keepLines w:val="0"/>
              <w:pageBreakBefore w:val="0"/>
              <w:widowControl w:val="0"/>
              <w:kinsoku/>
              <w:wordWrap/>
              <w:overflowPunct/>
              <w:topLinePunct w:val="0"/>
              <w:autoSpaceDE/>
              <w:autoSpaceDN/>
              <w:bidi w:val="0"/>
              <w:adjustRightInd/>
              <w:snapToGrid/>
              <w:spacing w:beforeLines="25" w:after="313" w:afterLines="100" w:line="360" w:lineRule="exact"/>
              <w:textAlignment w:val="baseline"/>
              <w:rPr>
                <w:rFonts w:ascii="宋体" w:hAnsi="宋体" w:eastAsia="仿宋_GB2312"/>
                <w:color w:val="000000"/>
                <w:sz w:val="24"/>
              </w:rPr>
            </w:pPr>
            <w:r>
              <w:rPr>
                <w:rFonts w:hint="eastAsia" w:ascii="黑体" w:hAnsi="黑体" w:eastAsia="黑体"/>
                <w:b/>
                <w:color w:val="000000"/>
                <w:sz w:val="24"/>
              </w:rPr>
              <w:t xml:space="preserve">    查询网址:</w:t>
            </w:r>
            <w:r>
              <w:rPr>
                <w:rFonts w:hint="eastAsia"/>
              </w:rPr>
              <w:t xml:space="preserve">http://www  xmzyjy.cn </w:t>
            </w:r>
            <w:r>
              <w:rPr>
                <w:rFonts w:hint="eastAsia"/>
              </w:rPr>
              <w:t xml:space="preserve">             </w:t>
            </w:r>
            <w:r>
              <w:rPr>
                <w:rFonts w:ascii="黑体" w:hAnsi="黑体" w:eastAsia="黑体"/>
                <w:color w:val="000000"/>
                <w:sz w:val="24"/>
              </w:rPr>
              <w:t>www.</w:t>
            </w:r>
            <w:r>
              <w:rPr>
                <w:rFonts w:hint="eastAsia" w:ascii="黑体" w:hAnsi="黑体" w:eastAsia="黑体"/>
                <w:color w:val="000000"/>
                <w:sz w:val="24"/>
              </w:rPr>
              <w:t>fjpengh</w:t>
            </w:r>
            <w:r>
              <w:rPr>
                <w:rFonts w:hint="eastAsia" w:ascii="宋体" w:hAnsi="宋体" w:eastAsia="仿宋_GB2312"/>
                <w:color w:val="000000"/>
                <w:sz w:val="24"/>
              </w:rPr>
              <w:t>an.</w:t>
            </w:r>
            <w:r>
              <w:rPr>
                <w:rFonts w:ascii="宋体" w:hAnsi="宋体" w:eastAsia="仿宋_GB2312"/>
                <w:color w:val="000000"/>
                <w:sz w:val="24"/>
              </w:rPr>
              <w:t>com</w:t>
            </w:r>
          </w:p>
        </w:tc>
      </w:tr>
    </w:tbl>
    <w:p>
      <w:pPr>
        <w:tabs>
          <w:tab w:val="left" w:pos="1530"/>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Dotum">
    <w:panose1 w:val="020B0600000101010101"/>
    <w:charset w:val="81"/>
    <w:family w:val="swiss"/>
    <w:pitch w:val="default"/>
    <w:sig w:usb0="B00002AF" w:usb1="69D77CFB" w:usb2="00000030" w:usb3="00000000" w:csb0="4008009F" w:csb1="DFD7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D2603"/>
    <w:rsid w:val="087A3AB2"/>
    <w:rsid w:val="29FD2603"/>
    <w:rsid w:val="6AE9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2019-08-23T06:39:00Z</dcterms:created>
  <dc:creator>Administrator</dc:creator>
  <cp:lastModifiedBy>鹏翰</cp:lastModifiedBy>
  <dcterms:modified xsi:type="dcterms:W3CDTF">2019-08-23T08:10:55Z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